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F949"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509F2A8" wp14:editId="59AEDF4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6"/>
        <w:gridCol w:w="4913"/>
      </w:tblGrid>
      <w:tr w:rsidR="00333FAA" w14:paraId="719CDA9F" w14:textId="77777777" w:rsidTr="00EB3CF0">
        <w:trPr>
          <w:tblHeader/>
        </w:trPr>
        <w:tc>
          <w:tcPr>
            <w:tcW w:w="3456" w:type="dxa"/>
            <w:tcBorders>
              <w:bottom w:val="single" w:sz="18" w:space="0" w:color="auto"/>
            </w:tcBorders>
          </w:tcPr>
          <w:p w14:paraId="701B287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CEC559A" w14:textId="77777777" w:rsidR="00333FAA" w:rsidRPr="005E3A10" w:rsidRDefault="005811F8" w:rsidP="00F06E4E">
            <w:pPr>
              <w:pStyle w:val="Heading1"/>
              <w:outlineLvl w:val="0"/>
              <w:rPr>
                <w:szCs w:val="24"/>
              </w:rPr>
            </w:pPr>
            <w:r w:rsidRPr="005E3A10">
              <w:t>Cabinet</w:t>
            </w:r>
          </w:p>
        </w:tc>
      </w:tr>
      <w:tr w:rsidR="00333FAA" w14:paraId="748ECD8F" w14:textId="77777777" w:rsidTr="00EB3CF0">
        <w:tc>
          <w:tcPr>
            <w:tcW w:w="3456" w:type="dxa"/>
            <w:tcBorders>
              <w:top w:val="single" w:sz="18" w:space="0" w:color="auto"/>
            </w:tcBorders>
          </w:tcPr>
          <w:p w14:paraId="297BF242"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1309A86B" w14:textId="5CB66E5C" w:rsidR="00333FAA" w:rsidRPr="005E3A10" w:rsidRDefault="007251A3" w:rsidP="00A53B04">
            <w:pPr>
              <w:rPr>
                <w:rFonts w:cs="Arial"/>
                <w:szCs w:val="24"/>
              </w:rPr>
            </w:pPr>
            <w:r>
              <w:rPr>
                <w:rFonts w:cs="Arial"/>
                <w:szCs w:val="24"/>
              </w:rPr>
              <w:t>1</w:t>
            </w:r>
            <w:r w:rsidR="00A773D7">
              <w:rPr>
                <w:rFonts w:cs="Arial"/>
                <w:szCs w:val="24"/>
              </w:rPr>
              <w:t>1</w:t>
            </w:r>
            <w:r w:rsidR="00982DE5">
              <w:rPr>
                <w:rFonts w:cs="Arial"/>
                <w:szCs w:val="24"/>
              </w:rPr>
              <w:t xml:space="preserve"> November 2020</w:t>
            </w:r>
          </w:p>
        </w:tc>
      </w:tr>
      <w:tr w:rsidR="00333FAA" w14:paraId="3D650226" w14:textId="77777777" w:rsidTr="00EB3CF0">
        <w:tc>
          <w:tcPr>
            <w:tcW w:w="3456" w:type="dxa"/>
          </w:tcPr>
          <w:p w14:paraId="2570EC19"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435468F2" w14:textId="77777777" w:rsidR="00063B87" w:rsidRPr="00477F7E" w:rsidRDefault="00063B87" w:rsidP="00063B87">
            <w:pPr>
              <w:rPr>
                <w:rFonts w:ascii="Calibri" w:hAnsi="Calibri"/>
                <w:szCs w:val="22"/>
              </w:rPr>
            </w:pPr>
            <w:r w:rsidRPr="00477F7E">
              <w:rPr>
                <w:szCs w:val="22"/>
              </w:rPr>
              <w:t>Children and Young People</w:t>
            </w:r>
            <w:r>
              <w:rPr>
                <w:szCs w:val="22"/>
              </w:rPr>
              <w:t xml:space="preserve"> Strategic </w:t>
            </w:r>
            <w:r w:rsidRPr="00477F7E">
              <w:rPr>
                <w:szCs w:val="22"/>
              </w:rPr>
              <w:t xml:space="preserve">Commissioning – </w:t>
            </w:r>
            <w:r>
              <w:rPr>
                <w:szCs w:val="22"/>
              </w:rPr>
              <w:t>Emotional Wellbeing Service and Information, Advice and Guidance Service</w:t>
            </w:r>
          </w:p>
          <w:p w14:paraId="781E4C60" w14:textId="42A58114" w:rsidR="00333FAA" w:rsidRPr="003A660A" w:rsidRDefault="00333FAA" w:rsidP="00A53B04">
            <w:pPr>
              <w:rPr>
                <w:rFonts w:cs="Arial"/>
                <w:szCs w:val="24"/>
                <w:highlight w:val="yellow"/>
              </w:rPr>
            </w:pPr>
          </w:p>
        </w:tc>
      </w:tr>
      <w:tr w:rsidR="00333FAA" w14:paraId="54BF482C" w14:textId="77777777" w:rsidTr="00EB3CF0">
        <w:tc>
          <w:tcPr>
            <w:tcW w:w="3456" w:type="dxa"/>
          </w:tcPr>
          <w:p w14:paraId="67104EA2"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0D16FC7B" w14:textId="77777777" w:rsidR="00333FAA" w:rsidRDefault="001C7E35" w:rsidP="00D66FD2">
            <w:pPr>
              <w:pStyle w:val="Infotext"/>
              <w:rPr>
                <w:rFonts w:cs="Arial"/>
                <w:sz w:val="24"/>
                <w:szCs w:val="24"/>
              </w:rPr>
            </w:pPr>
            <w:r w:rsidRPr="005E3A10">
              <w:rPr>
                <w:rFonts w:cs="Arial"/>
                <w:sz w:val="24"/>
                <w:szCs w:val="24"/>
              </w:rPr>
              <w:t>Yes</w:t>
            </w:r>
            <w:r w:rsidR="00F66E15" w:rsidRPr="005E3A10">
              <w:rPr>
                <w:rFonts w:cs="Arial"/>
                <w:sz w:val="24"/>
                <w:szCs w:val="24"/>
              </w:rPr>
              <w:t xml:space="preserve"> </w:t>
            </w:r>
            <w:r w:rsidR="00F66E15">
              <w:rPr>
                <w:rFonts w:cs="Arial"/>
                <w:sz w:val="24"/>
                <w:szCs w:val="24"/>
              </w:rPr>
              <w:t>-</w:t>
            </w:r>
            <w:r w:rsidR="00F66E15">
              <w:t xml:space="preserve"> </w:t>
            </w:r>
            <w:r w:rsidR="00F66E15" w:rsidRPr="00386CCC">
              <w:rPr>
                <w:rFonts w:cs="Arial"/>
                <w:sz w:val="24"/>
                <w:szCs w:val="24"/>
              </w:rPr>
              <w:t>effects communities living or working in an area of two or more wards of the Borough</w:t>
            </w:r>
            <w:r w:rsidR="00F66E15" w:rsidRPr="005E3A10">
              <w:rPr>
                <w:rFonts w:cs="Arial"/>
                <w:sz w:val="24"/>
                <w:szCs w:val="24"/>
              </w:rPr>
              <w:t xml:space="preserve"> </w:t>
            </w:r>
          </w:p>
          <w:p w14:paraId="53ED616C" w14:textId="5BF625DA" w:rsidR="00D66FD2" w:rsidRPr="005E3A10" w:rsidRDefault="00D66FD2" w:rsidP="00D66FD2">
            <w:pPr>
              <w:pStyle w:val="Infotext"/>
              <w:rPr>
                <w:rFonts w:cs="Arial"/>
                <w:szCs w:val="24"/>
              </w:rPr>
            </w:pPr>
          </w:p>
        </w:tc>
      </w:tr>
      <w:tr w:rsidR="001C7E35" w14:paraId="1325B78B" w14:textId="77777777" w:rsidTr="00EB3CF0">
        <w:tc>
          <w:tcPr>
            <w:tcW w:w="3456" w:type="dxa"/>
          </w:tcPr>
          <w:p w14:paraId="494094F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40E91451" w14:textId="2431C8CA" w:rsidR="00BE1A28" w:rsidRPr="00946CC6" w:rsidRDefault="00724E6A" w:rsidP="00BE1A28">
            <w:pPr>
              <w:pStyle w:val="Infotext"/>
              <w:rPr>
                <w:rFonts w:cs="Arial"/>
                <w:sz w:val="24"/>
                <w:szCs w:val="24"/>
              </w:rPr>
            </w:pPr>
            <w:r>
              <w:rPr>
                <w:rFonts w:cs="Arial"/>
                <w:sz w:val="24"/>
                <w:szCs w:val="24"/>
              </w:rPr>
              <w:t>Paul Hewitt, Corporate Director People Services</w:t>
            </w:r>
          </w:p>
          <w:p w14:paraId="4D9F2DBB" w14:textId="56ADF2FE" w:rsidR="001C7E35" w:rsidRPr="005E3A10" w:rsidRDefault="001C7E35" w:rsidP="00D835CF">
            <w:pPr>
              <w:pStyle w:val="Infotext"/>
              <w:rPr>
                <w:rFonts w:cs="Arial"/>
                <w:sz w:val="24"/>
                <w:szCs w:val="24"/>
              </w:rPr>
            </w:pPr>
          </w:p>
          <w:p w14:paraId="6EAA37A5" w14:textId="77777777" w:rsidR="001C7E35" w:rsidRPr="005E3A10" w:rsidRDefault="001C7E35" w:rsidP="00D835CF">
            <w:pPr>
              <w:pStyle w:val="Infotext"/>
              <w:rPr>
                <w:rFonts w:cs="Arial"/>
                <w:sz w:val="24"/>
                <w:szCs w:val="24"/>
              </w:rPr>
            </w:pPr>
          </w:p>
        </w:tc>
      </w:tr>
      <w:tr w:rsidR="001C7E35" w14:paraId="748650EA" w14:textId="77777777" w:rsidTr="00EB3CF0">
        <w:tc>
          <w:tcPr>
            <w:tcW w:w="3456" w:type="dxa"/>
          </w:tcPr>
          <w:p w14:paraId="28FF1A0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1674DC89" w14:textId="77777777" w:rsidR="00A761A6" w:rsidRPr="00946CC6" w:rsidRDefault="00A761A6" w:rsidP="00A761A6">
            <w:pPr>
              <w:pStyle w:val="Infotext"/>
              <w:rPr>
                <w:rFonts w:cs="Arial"/>
                <w:sz w:val="24"/>
                <w:szCs w:val="24"/>
              </w:rPr>
            </w:pPr>
            <w:r w:rsidRPr="00946CC6">
              <w:rPr>
                <w:rFonts w:cs="Arial"/>
                <w:sz w:val="24"/>
                <w:szCs w:val="24"/>
              </w:rPr>
              <w:t>Cllr Christine Robson</w:t>
            </w:r>
          </w:p>
          <w:p w14:paraId="1C3D413F" w14:textId="77777777" w:rsidR="00A761A6" w:rsidRPr="00946CC6" w:rsidRDefault="00A761A6" w:rsidP="00A761A6">
            <w:pPr>
              <w:pStyle w:val="Infotext"/>
              <w:rPr>
                <w:rFonts w:cs="Arial"/>
                <w:sz w:val="24"/>
                <w:szCs w:val="24"/>
              </w:rPr>
            </w:pPr>
            <w:r w:rsidRPr="00946CC6">
              <w:rPr>
                <w:rFonts w:cs="Arial"/>
                <w:sz w:val="24"/>
                <w:szCs w:val="24"/>
              </w:rPr>
              <w:t>Portfolio Holder for Children, Schools and Young People</w:t>
            </w:r>
          </w:p>
          <w:p w14:paraId="0CBE1DB5" w14:textId="393A3F04" w:rsidR="001C7E35" w:rsidRPr="005E3A10" w:rsidRDefault="001C7E35" w:rsidP="00D835CF">
            <w:pPr>
              <w:pStyle w:val="Infotext"/>
              <w:rPr>
                <w:rFonts w:cs="Arial"/>
                <w:color w:val="FF0000"/>
                <w:sz w:val="24"/>
                <w:szCs w:val="24"/>
              </w:rPr>
            </w:pPr>
          </w:p>
        </w:tc>
      </w:tr>
      <w:tr w:rsidR="001C7E35" w14:paraId="707C2DB4" w14:textId="77777777" w:rsidTr="00EB3CF0">
        <w:tc>
          <w:tcPr>
            <w:tcW w:w="3456" w:type="dxa"/>
          </w:tcPr>
          <w:p w14:paraId="5FDB08A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70E710C8" w14:textId="0A9042BD" w:rsidR="001C7E35" w:rsidRPr="005E3A10" w:rsidRDefault="001C7E35" w:rsidP="00D835CF">
            <w:pPr>
              <w:pStyle w:val="Infotext"/>
              <w:rPr>
                <w:rFonts w:cs="Arial"/>
                <w:sz w:val="24"/>
                <w:szCs w:val="24"/>
              </w:rPr>
            </w:pPr>
            <w:r w:rsidRPr="005E3A10">
              <w:rPr>
                <w:rFonts w:cs="Arial"/>
                <w:sz w:val="24"/>
                <w:szCs w:val="24"/>
              </w:rPr>
              <w:t>No</w:t>
            </w:r>
          </w:p>
          <w:p w14:paraId="132170C8" w14:textId="77777777" w:rsidR="001C7E35" w:rsidRDefault="001C7E35" w:rsidP="00A761A6">
            <w:pPr>
              <w:pStyle w:val="Infotext"/>
              <w:rPr>
                <w:rFonts w:cs="Arial"/>
                <w:color w:val="FF0000"/>
                <w:sz w:val="24"/>
                <w:szCs w:val="24"/>
              </w:rPr>
            </w:pPr>
          </w:p>
          <w:p w14:paraId="639544C5" w14:textId="1173661F" w:rsidR="00C56907" w:rsidRPr="005E3A10" w:rsidRDefault="00C56907" w:rsidP="00A761A6">
            <w:pPr>
              <w:pStyle w:val="Infotext"/>
              <w:rPr>
                <w:rFonts w:cs="Arial"/>
                <w:color w:val="FF0000"/>
                <w:sz w:val="24"/>
                <w:szCs w:val="24"/>
              </w:rPr>
            </w:pPr>
          </w:p>
        </w:tc>
      </w:tr>
      <w:tr w:rsidR="001C7E35" w14:paraId="7EAC58A5" w14:textId="77777777" w:rsidTr="00EB3CF0">
        <w:tc>
          <w:tcPr>
            <w:tcW w:w="3456" w:type="dxa"/>
          </w:tcPr>
          <w:p w14:paraId="66F2410F"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2816719B" w14:textId="77777777" w:rsidR="00714BEE" w:rsidRDefault="001C7E35" w:rsidP="00C56907">
            <w:pPr>
              <w:pStyle w:val="Infotext"/>
              <w:rPr>
                <w:rFonts w:cs="Arial"/>
                <w:sz w:val="24"/>
                <w:szCs w:val="24"/>
              </w:rPr>
            </w:pPr>
            <w:r w:rsidRPr="005E3A10">
              <w:rPr>
                <w:rFonts w:cs="Arial"/>
                <w:sz w:val="24"/>
                <w:szCs w:val="24"/>
              </w:rPr>
              <w:t xml:space="preserve">Yes </w:t>
            </w:r>
          </w:p>
          <w:p w14:paraId="473CB303" w14:textId="169D3567" w:rsidR="00C56907" w:rsidRPr="005E3A10" w:rsidRDefault="00C56907" w:rsidP="00C56907">
            <w:pPr>
              <w:pStyle w:val="Infotext"/>
              <w:rPr>
                <w:rFonts w:cs="Arial"/>
                <w:szCs w:val="24"/>
              </w:rPr>
            </w:pPr>
          </w:p>
        </w:tc>
      </w:tr>
      <w:tr w:rsidR="001C7E35" w14:paraId="35650024" w14:textId="77777777" w:rsidTr="00EB3CF0">
        <w:tc>
          <w:tcPr>
            <w:tcW w:w="3456" w:type="dxa"/>
          </w:tcPr>
          <w:p w14:paraId="34D1BAFC"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6CFF37ED" w14:textId="49D4525E" w:rsidR="001C7E35" w:rsidRDefault="00F131F9" w:rsidP="00D835CF">
            <w:pPr>
              <w:rPr>
                <w:rFonts w:cs="Arial"/>
                <w:szCs w:val="24"/>
              </w:rPr>
            </w:pPr>
            <w:r>
              <w:rPr>
                <w:rFonts w:cs="Arial"/>
                <w:szCs w:val="24"/>
              </w:rPr>
              <w:t xml:space="preserve">All </w:t>
            </w:r>
          </w:p>
          <w:p w14:paraId="16116BE5" w14:textId="7168C91F" w:rsidR="00307F76" w:rsidRPr="00307F76" w:rsidRDefault="00307F76" w:rsidP="00D835CF">
            <w:pPr>
              <w:rPr>
                <w:rFonts w:cs="Arial"/>
                <w:b/>
                <w:color w:val="FF0000"/>
                <w:szCs w:val="24"/>
              </w:rPr>
            </w:pPr>
          </w:p>
        </w:tc>
      </w:tr>
      <w:tr w:rsidR="001C7E35" w14:paraId="78EE8A64" w14:textId="77777777" w:rsidTr="00EB3CF0">
        <w:tc>
          <w:tcPr>
            <w:tcW w:w="3456" w:type="dxa"/>
          </w:tcPr>
          <w:p w14:paraId="7EC337A5"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423B5311" w14:textId="2670640F" w:rsidR="001C7E35" w:rsidRPr="00651301" w:rsidRDefault="00651301" w:rsidP="00DB6C3D">
            <w:pPr>
              <w:pStyle w:val="Infotext"/>
              <w:rPr>
                <w:sz w:val="24"/>
                <w:szCs w:val="24"/>
              </w:rPr>
            </w:pPr>
            <w:r w:rsidRPr="00651301">
              <w:rPr>
                <w:sz w:val="24"/>
                <w:szCs w:val="24"/>
              </w:rPr>
              <w:t>N</w:t>
            </w:r>
            <w:r>
              <w:rPr>
                <w:sz w:val="24"/>
                <w:szCs w:val="24"/>
              </w:rPr>
              <w:t>one</w:t>
            </w:r>
          </w:p>
        </w:tc>
      </w:tr>
    </w:tbl>
    <w:p w14:paraId="724008A6" w14:textId="0CFC0594" w:rsidR="00814641" w:rsidRDefault="00814641" w:rsidP="00C869F3">
      <w:pPr>
        <w:spacing w:after="480"/>
        <w:rPr>
          <w:rFonts w:cs="Arial"/>
        </w:rPr>
      </w:pPr>
    </w:p>
    <w:p w14:paraId="3B6EB2FE" w14:textId="77777777" w:rsidR="00814641" w:rsidRDefault="00814641">
      <w:pPr>
        <w:rPr>
          <w:rFonts w:cs="Arial"/>
        </w:rPr>
      </w:pPr>
      <w:r>
        <w:rPr>
          <w:rFonts w:cs="Arial"/>
        </w:rPr>
        <w:br w:type="page"/>
      </w:r>
    </w:p>
    <w:p w14:paraId="3B50272F"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07E10588" w14:textId="77777777" w:rsidTr="00221A93">
        <w:trPr>
          <w:tblHeader/>
        </w:trPr>
        <w:tc>
          <w:tcPr>
            <w:tcW w:w="8525" w:type="dxa"/>
            <w:tcBorders>
              <w:top w:val="nil"/>
              <w:left w:val="nil"/>
              <w:right w:val="nil"/>
            </w:tcBorders>
          </w:tcPr>
          <w:p w14:paraId="1D98BEEB" w14:textId="77777777" w:rsidR="00333FAA" w:rsidRDefault="00333FAA" w:rsidP="00605A4C">
            <w:pPr>
              <w:pStyle w:val="Heading2"/>
              <w:spacing w:after="240"/>
            </w:pPr>
            <w:r>
              <w:t>Section 1 – Summary and Recommendations</w:t>
            </w:r>
          </w:p>
        </w:tc>
      </w:tr>
      <w:tr w:rsidR="00333FAA" w14:paraId="12A3F12A" w14:textId="77777777" w:rsidTr="00221A93">
        <w:trPr>
          <w:tblHeader/>
        </w:trPr>
        <w:tc>
          <w:tcPr>
            <w:tcW w:w="8525" w:type="dxa"/>
          </w:tcPr>
          <w:p w14:paraId="69A84FA9" w14:textId="09D3F624" w:rsidR="00A72E92" w:rsidRDefault="00A72E92" w:rsidP="00605A4C">
            <w:pPr>
              <w:rPr>
                <w:color w:val="0000FF"/>
              </w:rPr>
            </w:pPr>
            <w:r w:rsidRPr="00C44559">
              <w:rPr>
                <w:rFonts w:cs="Agenda-Semibold"/>
                <w:color w:val="000000"/>
                <w:szCs w:val="24"/>
              </w:rPr>
              <w:t>This report sets out the</w:t>
            </w:r>
            <w:r w:rsidRPr="00C44559">
              <w:rPr>
                <w:color w:val="0000FF"/>
                <w:szCs w:val="24"/>
              </w:rPr>
              <w:t xml:space="preserve"> </w:t>
            </w:r>
            <w:r w:rsidRPr="00C44559">
              <w:rPr>
                <w:rFonts w:cs="Agenda-Semibold"/>
                <w:color w:val="000000"/>
                <w:szCs w:val="24"/>
              </w:rPr>
              <w:t xml:space="preserve">background, the </w:t>
            </w:r>
            <w:r w:rsidR="00063B87" w:rsidRPr="00C44559">
              <w:rPr>
                <w:rFonts w:cs="Agenda-Semibold"/>
                <w:color w:val="000000"/>
                <w:szCs w:val="24"/>
              </w:rPr>
              <w:t xml:space="preserve">current </w:t>
            </w:r>
            <w:r w:rsidR="00AD691A" w:rsidRPr="00C44559">
              <w:rPr>
                <w:rFonts w:cs="Agenda-Semibold"/>
                <w:color w:val="000000"/>
                <w:szCs w:val="24"/>
              </w:rPr>
              <w:t xml:space="preserve">commissioning </w:t>
            </w:r>
            <w:r w:rsidR="00063B87" w:rsidRPr="00C44559">
              <w:rPr>
                <w:rFonts w:cs="Agenda-Semibold"/>
                <w:color w:val="000000"/>
                <w:szCs w:val="24"/>
              </w:rPr>
              <w:t xml:space="preserve">arrangements </w:t>
            </w:r>
            <w:r w:rsidRPr="00C44559">
              <w:rPr>
                <w:rFonts w:cs="Agenda-Semibold"/>
                <w:color w:val="000000"/>
                <w:szCs w:val="24"/>
              </w:rPr>
              <w:t xml:space="preserve">and the </w:t>
            </w:r>
            <w:r w:rsidR="00063B87" w:rsidRPr="00C44559">
              <w:rPr>
                <w:rFonts w:cs="Agenda-Semibold"/>
                <w:color w:val="000000"/>
                <w:szCs w:val="24"/>
              </w:rPr>
              <w:t xml:space="preserve">proposals </w:t>
            </w:r>
            <w:r w:rsidR="00724E6A" w:rsidRPr="00C44559">
              <w:rPr>
                <w:szCs w:val="24"/>
              </w:rPr>
              <w:t>to approve</w:t>
            </w:r>
            <w:r w:rsidR="00F67C83" w:rsidRPr="00C44559">
              <w:rPr>
                <w:szCs w:val="24"/>
              </w:rPr>
              <w:t xml:space="preserve"> </w:t>
            </w:r>
            <w:r w:rsidR="007012FD">
              <w:rPr>
                <w:szCs w:val="24"/>
              </w:rPr>
              <w:t xml:space="preserve">financial contribution and issue a </w:t>
            </w:r>
            <w:r w:rsidR="003026FA" w:rsidRPr="00C44559">
              <w:rPr>
                <w:szCs w:val="24"/>
              </w:rPr>
              <w:t xml:space="preserve">direct award </w:t>
            </w:r>
            <w:r w:rsidR="00DD6B2E" w:rsidRPr="00C44559">
              <w:rPr>
                <w:szCs w:val="24"/>
              </w:rPr>
              <w:t>to</w:t>
            </w:r>
            <w:r w:rsidR="004F74E1" w:rsidRPr="00C44559">
              <w:rPr>
                <w:szCs w:val="24"/>
              </w:rPr>
              <w:t xml:space="preserve"> current providers </w:t>
            </w:r>
            <w:r w:rsidR="00063B87" w:rsidRPr="00C44559">
              <w:rPr>
                <w:szCs w:val="24"/>
              </w:rPr>
              <w:t xml:space="preserve">to </w:t>
            </w:r>
            <w:r w:rsidR="00063B87" w:rsidRPr="00C44559">
              <w:rPr>
                <w:szCs w:val="22"/>
              </w:rPr>
              <w:t>Emotional Wellbeing Service and Careers Information, Advice and Guidance Service</w:t>
            </w:r>
            <w:r w:rsidR="00063B87" w:rsidRPr="00C44559">
              <w:rPr>
                <w:color w:val="0000FF"/>
              </w:rPr>
              <w:t xml:space="preserve"> </w:t>
            </w:r>
            <w:r w:rsidR="00063B87" w:rsidRPr="00C44559">
              <w:t>to</w:t>
            </w:r>
            <w:r w:rsidR="00063B87" w:rsidRPr="00C44559">
              <w:rPr>
                <w:color w:val="0000FF"/>
              </w:rPr>
              <w:t xml:space="preserve"> </w:t>
            </w:r>
            <w:r w:rsidR="00063B87" w:rsidRPr="00C44559">
              <w:rPr>
                <w:szCs w:val="24"/>
              </w:rPr>
              <w:t>Harrow’s Children and Young People</w:t>
            </w:r>
            <w:r w:rsidR="007012FD">
              <w:rPr>
                <w:szCs w:val="24"/>
              </w:rPr>
              <w:t>.</w:t>
            </w:r>
          </w:p>
          <w:p w14:paraId="6A130613" w14:textId="77777777" w:rsidR="001C7E35" w:rsidRPr="00605A4C" w:rsidRDefault="00605A4C" w:rsidP="00E13BEF">
            <w:pPr>
              <w:pStyle w:val="Heading3"/>
              <w:spacing w:before="240"/>
            </w:pPr>
            <w:r>
              <w:t>Recommen</w:t>
            </w:r>
            <w:r w:rsidR="001C7E35" w:rsidRPr="00605A4C">
              <w:t xml:space="preserve">dations: </w:t>
            </w:r>
          </w:p>
          <w:p w14:paraId="17EE8CF2" w14:textId="77777777" w:rsidR="003721EC" w:rsidRDefault="003721EC" w:rsidP="00605A4C"/>
          <w:p w14:paraId="76DCEFCD" w14:textId="37D1FEBB" w:rsidR="001C7E35" w:rsidRDefault="001C7E35" w:rsidP="00605A4C">
            <w:r>
              <w:t>Cabinet is requested to:</w:t>
            </w:r>
          </w:p>
          <w:p w14:paraId="0E261884" w14:textId="6687257D" w:rsidR="007C3415" w:rsidRDefault="007C3415" w:rsidP="00605A4C"/>
          <w:p w14:paraId="6BE79359" w14:textId="210FF26C" w:rsidR="00CC0BC6" w:rsidRDefault="007C3415" w:rsidP="00323AEA">
            <w:pPr>
              <w:pStyle w:val="ListParagraph"/>
              <w:numPr>
                <w:ilvl w:val="0"/>
                <w:numId w:val="21"/>
              </w:numPr>
            </w:pPr>
            <w:r>
              <w:t xml:space="preserve">Delegate authority to the Corporate Director for People Services </w:t>
            </w:r>
            <w:r w:rsidR="00B676F3">
              <w:t xml:space="preserve">following </w:t>
            </w:r>
            <w:r>
              <w:t>consultation with the Portfolio Holder for Children, Schools and Young People, together with the Portfolio Holder for Finance and Major Contracts to</w:t>
            </w:r>
            <w:r w:rsidR="00F97B09">
              <w:t>:</w:t>
            </w:r>
            <w:r>
              <w:t xml:space="preserve"> </w:t>
            </w:r>
          </w:p>
          <w:p w14:paraId="3ED82599" w14:textId="77777777" w:rsidR="00F97B09" w:rsidRDefault="00F97B09" w:rsidP="008821D9">
            <w:pPr>
              <w:ind w:left="720"/>
            </w:pPr>
          </w:p>
          <w:p w14:paraId="1E62582A" w14:textId="199BA3B0" w:rsidR="00F97B09" w:rsidRDefault="00BC0A85" w:rsidP="007251A3">
            <w:pPr>
              <w:pStyle w:val="ListParagraph"/>
              <w:numPr>
                <w:ilvl w:val="0"/>
                <w:numId w:val="21"/>
              </w:numPr>
            </w:pPr>
            <w:r>
              <w:t>I</w:t>
            </w:r>
            <w:r w:rsidR="00F97B09" w:rsidRPr="00F97B09">
              <w:t>ssue a direct award to the incumbent provider</w:t>
            </w:r>
            <w:r w:rsidR="00F97B09">
              <w:t xml:space="preserve"> for the Harrow</w:t>
            </w:r>
            <w:r w:rsidR="00F97B09" w:rsidRPr="00F97B09">
              <w:t xml:space="preserve"> information advice and guidance service</w:t>
            </w:r>
            <w:r w:rsidR="00F97B09">
              <w:t>;</w:t>
            </w:r>
            <w:r w:rsidR="00F97B09" w:rsidRPr="00F97B09">
              <w:t xml:space="preserve"> and </w:t>
            </w:r>
          </w:p>
          <w:p w14:paraId="5EC8706F" w14:textId="77777777" w:rsidR="00F97B09" w:rsidRDefault="00F97B09" w:rsidP="007251A3">
            <w:pPr>
              <w:pStyle w:val="ListParagraph"/>
            </w:pPr>
          </w:p>
          <w:p w14:paraId="052726BE" w14:textId="67ACF385" w:rsidR="00F97B09" w:rsidRDefault="00A51A82" w:rsidP="007251A3">
            <w:pPr>
              <w:pStyle w:val="ListParagraph"/>
              <w:numPr>
                <w:ilvl w:val="0"/>
                <w:numId w:val="21"/>
              </w:numPr>
            </w:pPr>
            <w:r>
              <w:t>A</w:t>
            </w:r>
            <w:r w:rsidR="00F97B09" w:rsidRPr="00F97B09">
              <w:t>pprove the financial contribution to be made by the Council to Harrow Clinical Commissioning Group</w:t>
            </w:r>
            <w:r w:rsidR="00F97B09">
              <w:t>,</w:t>
            </w:r>
            <w:r w:rsidR="00F97B09" w:rsidRPr="00F97B09">
              <w:t xml:space="preserve"> for the Harrow’s Emotional Wellbeing Service.</w:t>
            </w:r>
          </w:p>
          <w:p w14:paraId="369CC74D" w14:textId="77777777" w:rsidR="00CC0BC6" w:rsidRDefault="00CC0BC6" w:rsidP="008821D9">
            <w:pPr>
              <w:ind w:left="720"/>
            </w:pPr>
          </w:p>
          <w:p w14:paraId="7399E7EF" w14:textId="77777777" w:rsidR="00591016" w:rsidRDefault="00591016" w:rsidP="00605A4C"/>
          <w:p w14:paraId="17267245" w14:textId="77777777" w:rsidR="00590ED4" w:rsidRDefault="00E13BEF" w:rsidP="00E13BEF">
            <w:pPr>
              <w:pStyle w:val="Heading3"/>
              <w:ind w:left="0" w:firstLine="0"/>
              <w:jc w:val="left"/>
            </w:pPr>
            <w:r>
              <w:t xml:space="preserve">Reason:  </w:t>
            </w:r>
          </w:p>
          <w:p w14:paraId="5A8ABB80" w14:textId="77777777" w:rsidR="00724E6A" w:rsidRDefault="00196C2C" w:rsidP="00724E6A">
            <w:pPr>
              <w:pStyle w:val="Heading3"/>
              <w:jc w:val="left"/>
              <w:rPr>
                <w:b w:val="0"/>
                <w:bCs w:val="0"/>
                <w:sz w:val="24"/>
                <w:szCs w:val="24"/>
              </w:rPr>
            </w:pPr>
            <w:r w:rsidRPr="00196C2C">
              <w:rPr>
                <w:b w:val="0"/>
                <w:bCs w:val="0"/>
                <w:sz w:val="24"/>
                <w:szCs w:val="24"/>
              </w:rPr>
              <w:t xml:space="preserve">To </w:t>
            </w:r>
            <w:r w:rsidR="004816DD">
              <w:rPr>
                <w:b w:val="0"/>
                <w:bCs w:val="0"/>
                <w:sz w:val="24"/>
                <w:szCs w:val="24"/>
              </w:rPr>
              <w:t xml:space="preserve">enable the Local Authority to </w:t>
            </w:r>
            <w:r w:rsidR="004B4A3A">
              <w:rPr>
                <w:b w:val="0"/>
                <w:bCs w:val="0"/>
                <w:sz w:val="24"/>
                <w:szCs w:val="24"/>
              </w:rPr>
              <w:t xml:space="preserve">fulfil its </w:t>
            </w:r>
            <w:r>
              <w:rPr>
                <w:b w:val="0"/>
                <w:bCs w:val="0"/>
                <w:sz w:val="24"/>
                <w:szCs w:val="24"/>
              </w:rPr>
              <w:t>statutory</w:t>
            </w:r>
            <w:r w:rsidR="004B4A3A">
              <w:rPr>
                <w:b w:val="0"/>
                <w:bCs w:val="0"/>
                <w:sz w:val="24"/>
                <w:szCs w:val="24"/>
              </w:rPr>
              <w:t xml:space="preserve"> </w:t>
            </w:r>
            <w:r w:rsidR="00724E6A">
              <w:rPr>
                <w:b w:val="0"/>
                <w:bCs w:val="0"/>
                <w:sz w:val="24"/>
                <w:szCs w:val="24"/>
              </w:rPr>
              <w:t>duties to:</w:t>
            </w:r>
          </w:p>
          <w:p w14:paraId="30F8E31A" w14:textId="77777777" w:rsidR="00724E6A" w:rsidRDefault="00724E6A" w:rsidP="00724E6A">
            <w:pPr>
              <w:pStyle w:val="Heading3"/>
              <w:jc w:val="left"/>
              <w:rPr>
                <w:b w:val="0"/>
                <w:bCs w:val="0"/>
                <w:sz w:val="24"/>
                <w:szCs w:val="24"/>
              </w:rPr>
            </w:pPr>
          </w:p>
          <w:p w14:paraId="4B057B0B" w14:textId="4DD31455" w:rsidR="006A7D37" w:rsidRDefault="00724E6A" w:rsidP="00724E6A">
            <w:pPr>
              <w:pStyle w:val="Heading3"/>
              <w:numPr>
                <w:ilvl w:val="0"/>
                <w:numId w:val="8"/>
              </w:numPr>
              <w:jc w:val="left"/>
              <w:rPr>
                <w:b w:val="0"/>
                <w:bCs w:val="0"/>
                <w:sz w:val="24"/>
                <w:szCs w:val="24"/>
              </w:rPr>
            </w:pPr>
            <w:r>
              <w:rPr>
                <w:b w:val="0"/>
                <w:bCs w:val="0"/>
                <w:sz w:val="24"/>
                <w:szCs w:val="24"/>
              </w:rPr>
              <w:t xml:space="preserve">meet </w:t>
            </w:r>
            <w:r w:rsidR="00CA31F1">
              <w:rPr>
                <w:b w:val="0"/>
                <w:bCs w:val="0"/>
                <w:sz w:val="24"/>
                <w:szCs w:val="24"/>
              </w:rPr>
              <w:t xml:space="preserve">the </w:t>
            </w:r>
            <w:r w:rsidR="00D712F8">
              <w:rPr>
                <w:b w:val="0"/>
                <w:bCs w:val="0"/>
                <w:sz w:val="24"/>
                <w:szCs w:val="24"/>
              </w:rPr>
              <w:t xml:space="preserve">emotional and mental health needs of children and young people </w:t>
            </w:r>
          </w:p>
          <w:p w14:paraId="3F11851E" w14:textId="3F720BEA" w:rsidR="00333FAA" w:rsidRDefault="001A3F0E" w:rsidP="00724E6A">
            <w:pPr>
              <w:pStyle w:val="Heading3"/>
              <w:numPr>
                <w:ilvl w:val="0"/>
                <w:numId w:val="8"/>
              </w:numPr>
              <w:jc w:val="left"/>
              <w:rPr>
                <w:b w:val="0"/>
                <w:bCs w:val="0"/>
                <w:sz w:val="24"/>
                <w:szCs w:val="24"/>
              </w:rPr>
            </w:pPr>
            <w:r w:rsidRPr="001A3F0E">
              <w:rPr>
                <w:b w:val="0"/>
                <w:bCs w:val="0"/>
                <w:sz w:val="24"/>
                <w:szCs w:val="24"/>
              </w:rPr>
              <w:t>encourage, enable or assist young people’s participation in education or training and to assist the most vulnerable and risk of disengaging with education or work</w:t>
            </w:r>
            <w:r w:rsidR="005B1F53">
              <w:rPr>
                <w:b w:val="0"/>
                <w:bCs w:val="0"/>
                <w:sz w:val="24"/>
                <w:szCs w:val="24"/>
              </w:rPr>
              <w:t>.</w:t>
            </w:r>
            <w:r w:rsidR="00196C2C">
              <w:rPr>
                <w:b w:val="0"/>
                <w:bCs w:val="0"/>
                <w:sz w:val="24"/>
                <w:szCs w:val="24"/>
              </w:rPr>
              <w:t xml:space="preserve"> </w:t>
            </w:r>
          </w:p>
          <w:p w14:paraId="779E655F" w14:textId="4BD6040E" w:rsidR="00196C2C" w:rsidRPr="00196C2C" w:rsidRDefault="00196C2C" w:rsidP="00B3792C"/>
        </w:tc>
      </w:tr>
    </w:tbl>
    <w:p w14:paraId="36679147" w14:textId="77777777" w:rsidR="00333FAA" w:rsidRDefault="00333FAA" w:rsidP="00F06E4E">
      <w:pPr>
        <w:pStyle w:val="Heading2"/>
        <w:spacing w:before="480"/>
      </w:pPr>
      <w:r>
        <w:t>Section 2 – Report</w:t>
      </w:r>
    </w:p>
    <w:p w14:paraId="6A50EFF2" w14:textId="77777777" w:rsidR="00DB508C" w:rsidRDefault="00DB508C" w:rsidP="006946B9">
      <w:pPr>
        <w:rPr>
          <w:sz w:val="28"/>
        </w:rPr>
      </w:pPr>
    </w:p>
    <w:p w14:paraId="4CE9AB64" w14:textId="2752D566" w:rsidR="001C7E35" w:rsidRPr="00B31E04" w:rsidRDefault="001C7E35" w:rsidP="006946B9">
      <w:pPr>
        <w:rPr>
          <w:b/>
          <w:bCs/>
          <w:sz w:val="28"/>
          <w:szCs w:val="22"/>
        </w:rPr>
      </w:pPr>
      <w:r w:rsidRPr="00B31E04">
        <w:rPr>
          <w:b/>
          <w:bCs/>
          <w:sz w:val="28"/>
          <w:szCs w:val="22"/>
        </w:rPr>
        <w:t>Introductory paragraph</w:t>
      </w:r>
    </w:p>
    <w:p w14:paraId="2A01A852" w14:textId="77777777" w:rsidR="004B1A5A" w:rsidRPr="004B1A5A" w:rsidRDefault="004B1A5A" w:rsidP="004B1A5A"/>
    <w:p w14:paraId="73D4BD66" w14:textId="23EA6548" w:rsidR="004B1A5A" w:rsidRDefault="004B1A5A" w:rsidP="00F93711">
      <w:pPr>
        <w:pStyle w:val="ListParagraph"/>
        <w:numPr>
          <w:ilvl w:val="0"/>
          <w:numId w:val="6"/>
        </w:numPr>
      </w:pPr>
      <w:r w:rsidRPr="004B1A5A">
        <w:t>Local Authorit</w:t>
      </w:r>
      <w:r w:rsidR="00CC0BC6">
        <w:t>ies</w:t>
      </w:r>
      <w:r w:rsidRPr="004B1A5A">
        <w:t xml:space="preserve"> has a statutory duty to provide Emotional Wellbeing and Careers Information Advice and Guidance services for </w:t>
      </w:r>
      <w:r w:rsidR="00CC0BC6">
        <w:t>c</w:t>
      </w:r>
      <w:r w:rsidRPr="004B1A5A">
        <w:t xml:space="preserve">hildren and </w:t>
      </w:r>
      <w:r w:rsidR="00CC0BC6">
        <w:t>y</w:t>
      </w:r>
      <w:r w:rsidRPr="004B1A5A">
        <w:t>oung People</w:t>
      </w:r>
      <w:r>
        <w:t xml:space="preserve">. Harrow </w:t>
      </w:r>
      <w:r w:rsidR="00CC0BC6">
        <w:t>Council (the Council) c</w:t>
      </w:r>
      <w:r>
        <w:t>ommissions two providers Barnardo’s</w:t>
      </w:r>
      <w:r w:rsidR="00562E6E">
        <w:t xml:space="preserve"> (through its partnership arrangement with Harrow Clinical Commissioning Group)</w:t>
      </w:r>
      <w:r>
        <w:t xml:space="preserve"> for the Harrow Horizons </w:t>
      </w:r>
      <w:r w:rsidRPr="004B1A5A">
        <w:rPr>
          <w:szCs w:val="22"/>
        </w:rPr>
        <w:t xml:space="preserve">Emotional Wellbeing Service and </w:t>
      </w:r>
      <w:r>
        <w:t>Prospects</w:t>
      </w:r>
      <w:r w:rsidRPr="004B1A5A">
        <w:rPr>
          <w:szCs w:val="22"/>
        </w:rPr>
        <w:t xml:space="preserve"> </w:t>
      </w:r>
      <w:r w:rsidR="00877C20">
        <w:rPr>
          <w:szCs w:val="22"/>
        </w:rPr>
        <w:t xml:space="preserve">Services </w:t>
      </w:r>
      <w:r w:rsidRPr="004B1A5A">
        <w:rPr>
          <w:szCs w:val="22"/>
        </w:rPr>
        <w:t xml:space="preserve">for the Careers, Information, Advice and Guidance Service. The </w:t>
      </w:r>
      <w:r w:rsidR="00CC0BC6">
        <w:rPr>
          <w:szCs w:val="22"/>
        </w:rPr>
        <w:t xml:space="preserve">current </w:t>
      </w:r>
      <w:r w:rsidRPr="004B1A5A">
        <w:rPr>
          <w:szCs w:val="22"/>
        </w:rPr>
        <w:t>contracts</w:t>
      </w:r>
      <w:r w:rsidR="00CC0BC6">
        <w:rPr>
          <w:szCs w:val="22"/>
        </w:rPr>
        <w:t xml:space="preserve"> </w:t>
      </w:r>
      <w:r w:rsidR="00F97B09">
        <w:rPr>
          <w:szCs w:val="22"/>
        </w:rPr>
        <w:t>for these services</w:t>
      </w:r>
      <w:r w:rsidRPr="004B1A5A">
        <w:rPr>
          <w:szCs w:val="22"/>
        </w:rPr>
        <w:t xml:space="preserve"> end in March </w:t>
      </w:r>
      <w:r w:rsidRPr="004B1A5A">
        <w:rPr>
          <w:szCs w:val="22"/>
        </w:rPr>
        <w:lastRenderedPageBreak/>
        <w:t>2021.</w:t>
      </w:r>
      <w:r w:rsidRPr="004B1A5A">
        <w:t xml:space="preserve"> This report sets out the legislative </w:t>
      </w:r>
      <w:r>
        <w:t xml:space="preserve">and local </w:t>
      </w:r>
      <w:r w:rsidRPr="004B1A5A">
        <w:t xml:space="preserve">context and the approach to </w:t>
      </w:r>
      <w:r>
        <w:t>re-</w:t>
      </w:r>
      <w:r w:rsidRPr="004B1A5A">
        <w:t>commissioning these services.</w:t>
      </w:r>
    </w:p>
    <w:p w14:paraId="7D3B3A6B" w14:textId="77777777" w:rsidR="004B1A5A" w:rsidRPr="004B1A5A" w:rsidRDefault="004B1A5A" w:rsidP="004B1A5A">
      <w:pPr>
        <w:pStyle w:val="ListParagraph"/>
        <w:ind w:left="360"/>
      </w:pPr>
    </w:p>
    <w:p w14:paraId="42E89BE6" w14:textId="0447AFB5" w:rsidR="004B1A5A" w:rsidRDefault="004B1A5A" w:rsidP="004B1A5A">
      <w:pPr>
        <w:pStyle w:val="ListParagraph"/>
        <w:numPr>
          <w:ilvl w:val="0"/>
          <w:numId w:val="6"/>
        </w:numPr>
      </w:pPr>
      <w:r w:rsidRPr="00940E25">
        <w:rPr>
          <w:rFonts w:cs="Arial"/>
          <w:szCs w:val="24"/>
        </w:rPr>
        <w:t>The recommendation</w:t>
      </w:r>
      <w:r>
        <w:rPr>
          <w:rFonts w:cs="Arial"/>
          <w:szCs w:val="24"/>
        </w:rPr>
        <w:t>s in this report contribute to the</w:t>
      </w:r>
      <w:r w:rsidRPr="00940E25">
        <w:rPr>
          <w:rFonts w:cs="Arial"/>
          <w:szCs w:val="24"/>
        </w:rPr>
        <w:t xml:space="preserve"> </w:t>
      </w:r>
      <w:r>
        <w:rPr>
          <w:rFonts w:cs="Arial"/>
          <w:szCs w:val="24"/>
        </w:rPr>
        <w:t>Council’s C</w:t>
      </w:r>
      <w:r w:rsidRPr="00940E25">
        <w:rPr>
          <w:rFonts w:cs="Arial"/>
          <w:szCs w:val="24"/>
        </w:rPr>
        <w:t>orporate priorities:</w:t>
      </w:r>
    </w:p>
    <w:p w14:paraId="70B1AB08" w14:textId="77777777" w:rsidR="004B1A5A" w:rsidRPr="00474C20" w:rsidRDefault="004B1A5A" w:rsidP="004B1A5A">
      <w:pPr>
        <w:pStyle w:val="ListParagraph"/>
        <w:numPr>
          <w:ilvl w:val="0"/>
          <w:numId w:val="5"/>
        </w:numPr>
        <w:autoSpaceDE w:val="0"/>
        <w:autoSpaceDN w:val="0"/>
        <w:rPr>
          <w:bCs/>
        </w:rPr>
      </w:pPr>
      <w:r w:rsidRPr="00474C20">
        <w:rPr>
          <w:bCs/>
        </w:rPr>
        <w:t>Tackling poverty and inequality</w:t>
      </w:r>
    </w:p>
    <w:p w14:paraId="6AFB41FF" w14:textId="77777777" w:rsidR="004B1A5A" w:rsidRPr="00474C20" w:rsidRDefault="004B1A5A" w:rsidP="004B1A5A">
      <w:pPr>
        <w:pStyle w:val="ListParagraph"/>
        <w:numPr>
          <w:ilvl w:val="0"/>
          <w:numId w:val="5"/>
        </w:numPr>
        <w:autoSpaceDE w:val="0"/>
        <w:autoSpaceDN w:val="0"/>
        <w:rPr>
          <w:bCs/>
        </w:rPr>
      </w:pPr>
      <w:r w:rsidRPr="00474C20">
        <w:rPr>
          <w:bCs/>
        </w:rPr>
        <w:t>Addressing health and social care inequality</w:t>
      </w:r>
    </w:p>
    <w:p w14:paraId="441FC9A6" w14:textId="77777777" w:rsidR="004B1A5A" w:rsidRPr="00CC2B1F" w:rsidRDefault="004B1A5A" w:rsidP="004B1A5A">
      <w:pPr>
        <w:pStyle w:val="ListParagraph"/>
        <w:numPr>
          <w:ilvl w:val="0"/>
          <w:numId w:val="5"/>
        </w:numPr>
        <w:autoSpaceDE w:val="0"/>
        <w:autoSpaceDN w:val="0"/>
        <w:rPr>
          <w:bCs/>
        </w:rPr>
      </w:pPr>
      <w:r w:rsidRPr="00474C20">
        <w:rPr>
          <w:bCs/>
        </w:rPr>
        <w:t>Thriving economy</w:t>
      </w:r>
    </w:p>
    <w:p w14:paraId="3257A18C" w14:textId="77777777" w:rsidR="004B1A5A" w:rsidRPr="004B1A5A" w:rsidRDefault="004B1A5A" w:rsidP="004B1A5A">
      <w:pPr>
        <w:pStyle w:val="ListParagraph"/>
        <w:ind w:left="360"/>
      </w:pPr>
    </w:p>
    <w:p w14:paraId="31F3903C" w14:textId="67F10F0F" w:rsidR="0032531E" w:rsidRDefault="0032531E" w:rsidP="000F4383"/>
    <w:p w14:paraId="1414487E" w14:textId="5EB947EB" w:rsidR="00AD1E77" w:rsidRDefault="001C7E35" w:rsidP="00A1211C">
      <w:pPr>
        <w:pStyle w:val="Heading3"/>
        <w:spacing w:before="240"/>
        <w:ind w:left="0" w:firstLine="0"/>
        <w:jc w:val="left"/>
      </w:pPr>
      <w:r>
        <w:t xml:space="preserve">Options considered  </w:t>
      </w:r>
    </w:p>
    <w:p w14:paraId="0508F324" w14:textId="43646DB7" w:rsidR="00880C9E" w:rsidRDefault="00880C9E" w:rsidP="00880C9E"/>
    <w:p w14:paraId="03163E84" w14:textId="6B70651B" w:rsidR="001A3B6A" w:rsidRPr="00370E3A" w:rsidRDefault="001A3B6A" w:rsidP="00306031">
      <w:pPr>
        <w:pStyle w:val="ListParagraph"/>
        <w:numPr>
          <w:ilvl w:val="0"/>
          <w:numId w:val="6"/>
        </w:numPr>
        <w:jc w:val="both"/>
        <w:rPr>
          <w:bCs/>
        </w:rPr>
      </w:pPr>
      <w:r w:rsidRPr="00370E3A">
        <w:rPr>
          <w:bCs/>
        </w:rPr>
        <w:t>T</w:t>
      </w:r>
      <w:r w:rsidR="008E673C">
        <w:rPr>
          <w:bCs/>
        </w:rPr>
        <w:t>hree</w:t>
      </w:r>
      <w:r w:rsidRPr="00370E3A">
        <w:rPr>
          <w:bCs/>
        </w:rPr>
        <w:t xml:space="preserve"> options have been considered:</w:t>
      </w:r>
    </w:p>
    <w:p w14:paraId="61129A06" w14:textId="77777777" w:rsidR="001A3B6A" w:rsidRDefault="001A3B6A" w:rsidP="001A3B6A">
      <w:pPr>
        <w:jc w:val="both"/>
        <w:rPr>
          <w:bCs/>
        </w:rPr>
      </w:pPr>
    </w:p>
    <w:p w14:paraId="0FDD10B0" w14:textId="29232C49" w:rsidR="001A3B6A" w:rsidRPr="001A3B6A" w:rsidRDefault="001A3B6A" w:rsidP="003E6CAE">
      <w:pPr>
        <w:pStyle w:val="ListParagraph"/>
        <w:numPr>
          <w:ilvl w:val="0"/>
          <w:numId w:val="10"/>
        </w:numPr>
        <w:ind w:left="720"/>
        <w:jc w:val="both"/>
        <w:rPr>
          <w:bCs/>
        </w:rPr>
      </w:pPr>
      <w:r w:rsidRPr="001A3B6A">
        <w:rPr>
          <w:bCs/>
        </w:rPr>
        <w:t xml:space="preserve">Option 1: Do nothing </w:t>
      </w:r>
      <w:r>
        <w:rPr>
          <w:bCs/>
        </w:rPr>
        <w:t>- a</w:t>
      </w:r>
      <w:r w:rsidRPr="001A3B6A">
        <w:rPr>
          <w:bCs/>
        </w:rPr>
        <w:t xml:space="preserve">llow the contracts to end in March 2021.  This will create a gap in statutory service provision and will be detrimental to Children and Young People at a time of significant uncertainty and increase anxiety arising from the </w:t>
      </w:r>
      <w:proofErr w:type="spellStart"/>
      <w:r w:rsidRPr="001A3B6A">
        <w:rPr>
          <w:bCs/>
        </w:rPr>
        <w:t>covid</w:t>
      </w:r>
      <w:proofErr w:type="spellEnd"/>
      <w:r w:rsidRPr="001A3B6A">
        <w:rPr>
          <w:bCs/>
        </w:rPr>
        <w:t xml:space="preserve"> pandemic.</w:t>
      </w:r>
    </w:p>
    <w:p w14:paraId="2ED5E2DA" w14:textId="77777777" w:rsidR="001A3B6A" w:rsidRPr="001B64E3" w:rsidRDefault="001A3B6A" w:rsidP="003E6CAE">
      <w:pPr>
        <w:jc w:val="both"/>
        <w:rPr>
          <w:b/>
          <w:color w:val="7030A0"/>
        </w:rPr>
      </w:pPr>
    </w:p>
    <w:p w14:paraId="051139B1" w14:textId="51E3A422" w:rsidR="002B7F4E" w:rsidRDefault="001A3B6A" w:rsidP="007251A3">
      <w:pPr>
        <w:pStyle w:val="ListParagraph"/>
        <w:numPr>
          <w:ilvl w:val="0"/>
          <w:numId w:val="10"/>
        </w:numPr>
        <w:rPr>
          <w:szCs w:val="24"/>
        </w:rPr>
      </w:pPr>
      <w:r w:rsidRPr="007251A3">
        <w:rPr>
          <w:bCs/>
        </w:rPr>
        <w:t xml:space="preserve">Option 2: </w:t>
      </w:r>
      <w:r w:rsidRPr="007251A3">
        <w:rPr>
          <w:szCs w:val="24"/>
        </w:rPr>
        <w:t>Secure delegations from Cabinet</w:t>
      </w:r>
      <w:r w:rsidR="002B7F4E" w:rsidRPr="007251A3">
        <w:rPr>
          <w:szCs w:val="24"/>
        </w:rPr>
        <w:t xml:space="preserve"> to issue a direct award to the incumbent provider for the Harrow information advice and guidance service and approve the financial contribution to be made by the Council to Harrow Clinical Commissioning Group, for the Harrow’s Emotional Wellbeing Service.</w:t>
      </w:r>
    </w:p>
    <w:p w14:paraId="551DB766" w14:textId="77777777" w:rsidR="008E673C" w:rsidRPr="008E673C" w:rsidRDefault="008E673C" w:rsidP="008E673C">
      <w:pPr>
        <w:pStyle w:val="ListParagraph"/>
        <w:rPr>
          <w:szCs w:val="24"/>
        </w:rPr>
      </w:pPr>
    </w:p>
    <w:p w14:paraId="251C98C6" w14:textId="2F1A7F30" w:rsidR="008E673C" w:rsidRPr="007251A3" w:rsidRDefault="008E673C" w:rsidP="007251A3">
      <w:pPr>
        <w:pStyle w:val="ListParagraph"/>
        <w:numPr>
          <w:ilvl w:val="0"/>
          <w:numId w:val="10"/>
        </w:numPr>
        <w:rPr>
          <w:szCs w:val="24"/>
        </w:rPr>
      </w:pPr>
      <w:r>
        <w:rPr>
          <w:szCs w:val="24"/>
        </w:rPr>
        <w:t>Option 3:</w:t>
      </w:r>
      <w:r w:rsidR="00635B43">
        <w:rPr>
          <w:szCs w:val="24"/>
        </w:rPr>
        <w:t xml:space="preserve"> </w:t>
      </w:r>
      <w:r w:rsidR="00BA4B8A">
        <w:rPr>
          <w:szCs w:val="24"/>
        </w:rPr>
        <w:t>Carry out procurement process</w:t>
      </w:r>
      <w:r w:rsidR="005B77BC">
        <w:rPr>
          <w:szCs w:val="24"/>
        </w:rPr>
        <w:t xml:space="preserve"> for</w:t>
      </w:r>
      <w:r w:rsidR="00297550">
        <w:rPr>
          <w:szCs w:val="24"/>
        </w:rPr>
        <w:t xml:space="preserve"> </w:t>
      </w:r>
      <w:r w:rsidR="001F479D">
        <w:rPr>
          <w:szCs w:val="24"/>
        </w:rPr>
        <w:t xml:space="preserve">the </w:t>
      </w:r>
      <w:r w:rsidR="005C090F">
        <w:rPr>
          <w:szCs w:val="24"/>
        </w:rPr>
        <w:t xml:space="preserve">careers, </w:t>
      </w:r>
      <w:proofErr w:type="spellStart"/>
      <w:proofErr w:type="gramStart"/>
      <w:r w:rsidR="005C090F">
        <w:rPr>
          <w:szCs w:val="24"/>
        </w:rPr>
        <w:t>information</w:t>
      </w:r>
      <w:r w:rsidR="00B05D52">
        <w:rPr>
          <w:szCs w:val="24"/>
        </w:rPr>
        <w:t>,</w:t>
      </w:r>
      <w:r w:rsidR="005C090F">
        <w:rPr>
          <w:szCs w:val="24"/>
        </w:rPr>
        <w:t>advice</w:t>
      </w:r>
      <w:proofErr w:type="spellEnd"/>
      <w:proofErr w:type="gramEnd"/>
      <w:r w:rsidR="00B05D52">
        <w:rPr>
          <w:szCs w:val="24"/>
        </w:rPr>
        <w:t xml:space="preserve"> and guidance</w:t>
      </w:r>
      <w:r w:rsidR="001F479D">
        <w:rPr>
          <w:szCs w:val="24"/>
        </w:rPr>
        <w:t xml:space="preserve"> se</w:t>
      </w:r>
      <w:r w:rsidR="004A2299">
        <w:rPr>
          <w:szCs w:val="24"/>
        </w:rPr>
        <w:t>r</w:t>
      </w:r>
      <w:r w:rsidR="001F479D">
        <w:rPr>
          <w:szCs w:val="24"/>
        </w:rPr>
        <w:t>vice</w:t>
      </w:r>
      <w:r w:rsidR="00E05929">
        <w:rPr>
          <w:szCs w:val="24"/>
        </w:rPr>
        <w:t xml:space="preserve">.  </w:t>
      </w:r>
      <w:r w:rsidR="001F479D">
        <w:rPr>
          <w:szCs w:val="24"/>
        </w:rPr>
        <w:t>The c</w:t>
      </w:r>
      <w:r w:rsidR="005B77BC">
        <w:rPr>
          <w:szCs w:val="24"/>
        </w:rPr>
        <w:t xml:space="preserve">urrent contract expires </w:t>
      </w:r>
      <w:r w:rsidR="001F479D">
        <w:rPr>
          <w:szCs w:val="24"/>
        </w:rPr>
        <w:t>31</w:t>
      </w:r>
      <w:r w:rsidR="001F479D" w:rsidRPr="001F479D">
        <w:rPr>
          <w:szCs w:val="24"/>
          <w:vertAlign w:val="superscript"/>
        </w:rPr>
        <w:t>st</w:t>
      </w:r>
      <w:r w:rsidR="001F479D">
        <w:rPr>
          <w:szCs w:val="24"/>
        </w:rPr>
        <w:t xml:space="preserve"> March 2021</w:t>
      </w:r>
      <w:r w:rsidR="00842D76">
        <w:rPr>
          <w:szCs w:val="24"/>
        </w:rPr>
        <w:t xml:space="preserve">.  </w:t>
      </w:r>
    </w:p>
    <w:p w14:paraId="6B638E91" w14:textId="77777777" w:rsidR="001A3B6A" w:rsidRPr="001A3B6A" w:rsidRDefault="001A3B6A" w:rsidP="001A3B6A"/>
    <w:p w14:paraId="7ED1E3D0" w14:textId="14F2475C" w:rsidR="00880C9E" w:rsidRDefault="001A3B6A" w:rsidP="00306031">
      <w:pPr>
        <w:pStyle w:val="ListParagraph"/>
        <w:numPr>
          <w:ilvl w:val="0"/>
          <w:numId w:val="6"/>
        </w:numPr>
      </w:pPr>
      <w:r>
        <w:t xml:space="preserve">Option 2 is the preferred option because it will ensure that there is a continuity of service and </w:t>
      </w:r>
      <w:r w:rsidR="00DA624D">
        <w:t xml:space="preserve">allow </w:t>
      </w:r>
      <w:r w:rsidR="00B8500F">
        <w:t xml:space="preserve">an </w:t>
      </w:r>
      <w:r w:rsidR="0073401A">
        <w:t xml:space="preserve">analysis of </w:t>
      </w:r>
      <w:r w:rsidR="00DE4C39">
        <w:t xml:space="preserve">how the </w:t>
      </w:r>
      <w:r w:rsidR="0073401A">
        <w:t xml:space="preserve">pandemic </w:t>
      </w:r>
      <w:r w:rsidR="00DE4C39">
        <w:t xml:space="preserve">has impacted the health, well-being and </w:t>
      </w:r>
      <w:r w:rsidR="00262326">
        <w:t xml:space="preserve">education, employment and training opportunities.  To then </w:t>
      </w:r>
      <w:r w:rsidR="0058052C">
        <w:t xml:space="preserve">incorporate these learnings </w:t>
      </w:r>
      <w:r w:rsidR="00970183">
        <w:t xml:space="preserve">to </w:t>
      </w:r>
      <w:r w:rsidR="0058052C">
        <w:t xml:space="preserve">design services </w:t>
      </w:r>
      <w:r w:rsidR="00226D08">
        <w:t>for the future accordingly</w:t>
      </w:r>
      <w:r w:rsidR="00970183">
        <w:t xml:space="preserve"> with the o</w:t>
      </w:r>
      <w:r w:rsidR="00226D08">
        <w:t>pportunity to consult service users.</w:t>
      </w:r>
    </w:p>
    <w:p w14:paraId="088782D2" w14:textId="77777777" w:rsidR="00262AE6" w:rsidRDefault="00262AE6" w:rsidP="001A3B6A"/>
    <w:p w14:paraId="23E97E59" w14:textId="77777777" w:rsidR="004B1A5A" w:rsidRPr="006977F9" w:rsidRDefault="004B1A5A" w:rsidP="004B1A5A">
      <w:pPr>
        <w:pStyle w:val="Heading2"/>
        <w:rPr>
          <w:rFonts w:ascii="Arial" w:hAnsi="Arial"/>
          <w:sz w:val="28"/>
          <w:szCs w:val="28"/>
        </w:rPr>
      </w:pPr>
      <w:r w:rsidRPr="006977F9">
        <w:rPr>
          <w:rFonts w:ascii="Arial" w:hAnsi="Arial"/>
          <w:sz w:val="28"/>
          <w:szCs w:val="28"/>
        </w:rPr>
        <w:t>Current situation</w:t>
      </w:r>
    </w:p>
    <w:p w14:paraId="39D87C6D" w14:textId="412A240F" w:rsidR="006F5100" w:rsidRDefault="006F5100" w:rsidP="006F5100"/>
    <w:p w14:paraId="68B85D02" w14:textId="77777777" w:rsidR="004B1A5A" w:rsidRPr="004B1A5A" w:rsidRDefault="004B1A5A" w:rsidP="004B1A5A">
      <w:pPr>
        <w:pStyle w:val="ListParagraph"/>
        <w:ind w:left="360"/>
        <w:rPr>
          <w:u w:val="single"/>
        </w:rPr>
      </w:pPr>
      <w:r w:rsidRPr="004B1A5A">
        <w:rPr>
          <w:u w:val="single"/>
        </w:rPr>
        <w:t>Emotional Health and Wellbeing Services</w:t>
      </w:r>
    </w:p>
    <w:p w14:paraId="03D5072C" w14:textId="77777777" w:rsidR="004B1A5A" w:rsidRPr="008433B5" w:rsidRDefault="004B1A5A" w:rsidP="004B1A5A"/>
    <w:p w14:paraId="1E80D69D" w14:textId="0221CCD3" w:rsidR="004B1A5A" w:rsidRDefault="004B1A5A" w:rsidP="004B1A5A">
      <w:pPr>
        <w:pStyle w:val="ListParagraph"/>
        <w:numPr>
          <w:ilvl w:val="0"/>
          <w:numId w:val="6"/>
        </w:numPr>
      </w:pPr>
      <w:r>
        <w:t>In accordance with the</w:t>
      </w:r>
      <w:r w:rsidRPr="008433B5">
        <w:t xml:space="preserve"> Children Act 1989</w:t>
      </w:r>
      <w:r>
        <w:t xml:space="preserve">, the </w:t>
      </w:r>
      <w:r w:rsidR="006B6A1D">
        <w:t>Council</w:t>
      </w:r>
      <w:r>
        <w:t xml:space="preserve"> has a duty</w:t>
      </w:r>
      <w:r w:rsidRPr="008433B5">
        <w:t xml:space="preserve"> to ‘Promot</w:t>
      </w:r>
      <w:r>
        <w:t>e</w:t>
      </w:r>
      <w:r w:rsidRPr="008433B5">
        <w:t xml:space="preserve"> the Health and Well-Being of Looked-After Children’</w:t>
      </w:r>
      <w:r>
        <w:t xml:space="preserve">. Increasing and improving mental health services through an integrated approach with local authorities and health services, was a key objective in the Government’s </w:t>
      </w:r>
      <w:r w:rsidRPr="004B1A5A">
        <w:t xml:space="preserve">Future in Mind Transformation Plan. In this context, in </w:t>
      </w:r>
      <w:r w:rsidRPr="008433B5">
        <w:t>October 2015</w:t>
      </w:r>
      <w:r>
        <w:t xml:space="preserve">, </w:t>
      </w:r>
      <w:r w:rsidRPr="008433B5">
        <w:t>the Health and Well-Being Board,</w:t>
      </w:r>
      <w:r>
        <w:t xml:space="preserve"> agreed </w:t>
      </w:r>
      <w:r w:rsidRPr="008433B5">
        <w:t>to develop an integrated Emotional Health and Wellbeing Targeted Service</w:t>
      </w:r>
      <w:r>
        <w:t xml:space="preserve"> with Harrow Clinical Commissioning Group (CCG) and the </w:t>
      </w:r>
      <w:r w:rsidR="006B6A1D">
        <w:t>Council</w:t>
      </w:r>
      <w:r>
        <w:t xml:space="preserve">. </w:t>
      </w:r>
    </w:p>
    <w:p w14:paraId="67F4F1AE" w14:textId="77777777" w:rsidR="004B1A5A" w:rsidRDefault="004B1A5A" w:rsidP="004B1A5A">
      <w:pPr>
        <w:pStyle w:val="ListParagraph"/>
        <w:ind w:left="360"/>
      </w:pPr>
    </w:p>
    <w:p w14:paraId="4FB5FE48" w14:textId="65BB5BD8" w:rsidR="004B1A5A" w:rsidRDefault="004B1A5A" w:rsidP="004B1A5A">
      <w:pPr>
        <w:pStyle w:val="ListParagraph"/>
        <w:numPr>
          <w:ilvl w:val="0"/>
          <w:numId w:val="6"/>
        </w:numPr>
      </w:pPr>
      <w:r>
        <w:t xml:space="preserve">The North West London Integrated Care Partnership (HICP) has agreed its Out of Hospital Recovery Plan to progress the integration of health and social care and the systems recovery from the </w:t>
      </w:r>
      <w:proofErr w:type="spellStart"/>
      <w:r>
        <w:t>covid</w:t>
      </w:r>
      <w:proofErr w:type="spellEnd"/>
      <w:r>
        <w:t xml:space="preserve"> emergency response. </w:t>
      </w:r>
      <w:r>
        <w:lastRenderedPageBreak/>
        <w:t>There is a Children and Young People Workstream which includes emotional and mental health.</w:t>
      </w:r>
    </w:p>
    <w:p w14:paraId="6A20753C" w14:textId="77777777" w:rsidR="004B1A5A" w:rsidRPr="008433B5" w:rsidRDefault="004B1A5A" w:rsidP="004B1A5A"/>
    <w:p w14:paraId="32A746B4" w14:textId="23966C5E" w:rsidR="004B1A5A" w:rsidRDefault="004B1A5A" w:rsidP="004B1A5A">
      <w:pPr>
        <w:pStyle w:val="ListParagraph"/>
        <w:ind w:left="360"/>
        <w:rPr>
          <w:rFonts w:eastAsiaTheme="minorHAnsi" w:cs="Arial"/>
          <w:b/>
          <w:bCs/>
          <w:color w:val="000000"/>
          <w:szCs w:val="24"/>
        </w:rPr>
      </w:pPr>
      <w:r w:rsidRPr="00B5457B">
        <w:rPr>
          <w:rFonts w:eastAsiaTheme="minorHAnsi" w:cs="Arial"/>
          <w:b/>
          <w:bCs/>
          <w:color w:val="000000"/>
          <w:szCs w:val="24"/>
        </w:rPr>
        <w:t>NHS Long Term Plan (January 2019)</w:t>
      </w:r>
    </w:p>
    <w:p w14:paraId="5CC808D8" w14:textId="77777777" w:rsidR="007012FD" w:rsidRPr="00B5457B" w:rsidRDefault="007012FD" w:rsidP="004B1A5A">
      <w:pPr>
        <w:pStyle w:val="ListParagraph"/>
        <w:ind w:left="360"/>
        <w:rPr>
          <w:rFonts w:eastAsiaTheme="minorHAnsi" w:cs="Arial"/>
          <w:bCs/>
          <w:color w:val="000000"/>
          <w:szCs w:val="24"/>
        </w:rPr>
      </w:pPr>
    </w:p>
    <w:p w14:paraId="56502DD2" w14:textId="131BEE4A" w:rsidR="004B1A5A" w:rsidRPr="00B5457B" w:rsidRDefault="004B1A5A" w:rsidP="004B1A5A">
      <w:pPr>
        <w:pStyle w:val="ListParagraph"/>
        <w:numPr>
          <w:ilvl w:val="0"/>
          <w:numId w:val="6"/>
        </w:numPr>
        <w:spacing w:after="200"/>
        <w:rPr>
          <w:rFonts w:eastAsiaTheme="minorHAnsi" w:cs="Arial"/>
          <w:szCs w:val="24"/>
        </w:rPr>
      </w:pPr>
      <w:r w:rsidRPr="00B5457B">
        <w:rPr>
          <w:rFonts w:eastAsiaTheme="minorHAnsi" w:cs="Arial"/>
          <w:szCs w:val="24"/>
        </w:rPr>
        <w:t>Mental health support for children and young people will be embedded in schools and colleges. The Children and Young People’s Mental Health Green Paper set out proposals to improve mental health support in schools and colleges, Harrow was successful in the recent Green Paper bid</w:t>
      </w:r>
      <w:r w:rsidR="00386E1F">
        <w:rPr>
          <w:rFonts w:eastAsiaTheme="minorHAnsi" w:cs="Arial"/>
          <w:szCs w:val="24"/>
        </w:rPr>
        <w:t xml:space="preserve"> to deliver the </w:t>
      </w:r>
      <w:r w:rsidR="00104394">
        <w:rPr>
          <w:rFonts w:eastAsiaTheme="minorHAnsi" w:cs="Arial"/>
          <w:szCs w:val="24"/>
        </w:rPr>
        <w:t>mental health support teams (MHST)</w:t>
      </w:r>
      <w:r w:rsidR="00B71F6B">
        <w:rPr>
          <w:rFonts w:eastAsiaTheme="minorHAnsi" w:cs="Arial"/>
          <w:szCs w:val="24"/>
        </w:rPr>
        <w:t xml:space="preserve"> from </w:t>
      </w:r>
      <w:r w:rsidR="00DC71E0">
        <w:rPr>
          <w:rFonts w:eastAsiaTheme="minorHAnsi" w:cs="Arial"/>
          <w:szCs w:val="24"/>
        </w:rPr>
        <w:t>November 2020</w:t>
      </w:r>
      <w:r w:rsidRPr="00B5457B">
        <w:rPr>
          <w:rFonts w:eastAsiaTheme="minorHAnsi" w:cs="Arial"/>
          <w:szCs w:val="24"/>
        </w:rPr>
        <w:t xml:space="preserve">.  </w:t>
      </w:r>
      <w:r w:rsidR="00460567">
        <w:rPr>
          <w:rFonts w:eastAsiaTheme="minorHAnsi" w:cs="Arial"/>
          <w:szCs w:val="24"/>
        </w:rPr>
        <w:t>The Harrow Horizons Service</w:t>
      </w:r>
      <w:r w:rsidR="00E422BD">
        <w:rPr>
          <w:rFonts w:eastAsiaTheme="minorHAnsi" w:cs="Arial"/>
          <w:szCs w:val="24"/>
        </w:rPr>
        <w:t xml:space="preserve"> will be </w:t>
      </w:r>
      <w:r w:rsidR="00375D87">
        <w:rPr>
          <w:rFonts w:eastAsiaTheme="minorHAnsi" w:cs="Arial"/>
          <w:szCs w:val="24"/>
        </w:rPr>
        <w:t xml:space="preserve">involved </w:t>
      </w:r>
      <w:r w:rsidR="00924098">
        <w:rPr>
          <w:rFonts w:eastAsiaTheme="minorHAnsi" w:cs="Arial"/>
          <w:szCs w:val="24"/>
        </w:rPr>
        <w:t xml:space="preserve">in this initiative.  </w:t>
      </w:r>
      <w:r w:rsidR="00460567">
        <w:rPr>
          <w:rFonts w:eastAsiaTheme="minorHAnsi" w:cs="Arial"/>
          <w:szCs w:val="24"/>
        </w:rPr>
        <w:t xml:space="preserve">  </w:t>
      </w:r>
    </w:p>
    <w:p w14:paraId="5CFAC799" w14:textId="16D1E99E" w:rsidR="004B1A5A" w:rsidRPr="002B7F4E" w:rsidRDefault="004B1A5A" w:rsidP="004B1A5A">
      <w:pPr>
        <w:pStyle w:val="ListParagraph"/>
        <w:numPr>
          <w:ilvl w:val="0"/>
          <w:numId w:val="6"/>
        </w:numPr>
        <w:rPr>
          <w:rFonts w:eastAsiaTheme="minorHAnsi" w:cs="Arial"/>
          <w:szCs w:val="24"/>
        </w:rPr>
      </w:pPr>
      <w:r w:rsidRPr="00B5457B">
        <w:rPr>
          <w:rFonts w:eastAsiaTheme="minorHAnsi" w:cs="Arial"/>
          <w:szCs w:val="24"/>
        </w:rPr>
        <w:t xml:space="preserve">The plan also states an additional 345,000 CYP aged 0-25 accessing NHS funded services by 2023/24, with a year on year increase of 70,000, which represents </w:t>
      </w:r>
      <w:r w:rsidRPr="00B5457B">
        <w:rPr>
          <w:rFonts w:eastAsiaTheme="minorHAnsi" w:cs="Arial"/>
          <w:b/>
          <w:szCs w:val="24"/>
        </w:rPr>
        <w:t>7,000 a year</w:t>
      </w:r>
      <w:r w:rsidRPr="00B5457B">
        <w:rPr>
          <w:rFonts w:eastAsiaTheme="minorHAnsi" w:cs="Arial"/>
          <w:szCs w:val="24"/>
        </w:rPr>
        <w:t xml:space="preserve"> more than the 63,000 required in 19/20. This represents a 10% increase. Harrow Horizons have provided access to an intervention to 470 children between April </w:t>
      </w:r>
      <w:r w:rsidR="006B6A1D">
        <w:rPr>
          <w:rFonts w:eastAsiaTheme="minorHAnsi" w:cs="Arial"/>
          <w:szCs w:val="24"/>
        </w:rPr>
        <w:t xml:space="preserve">and </w:t>
      </w:r>
      <w:r w:rsidRPr="00B5457B">
        <w:rPr>
          <w:rFonts w:eastAsiaTheme="minorHAnsi" w:cs="Arial"/>
          <w:szCs w:val="24"/>
        </w:rPr>
        <w:t>Aug</w:t>
      </w:r>
      <w:r w:rsidR="006B6A1D">
        <w:rPr>
          <w:rFonts w:eastAsiaTheme="minorHAnsi" w:cs="Arial"/>
          <w:szCs w:val="24"/>
        </w:rPr>
        <w:t>ust</w:t>
      </w:r>
      <w:r w:rsidRPr="00B5457B">
        <w:rPr>
          <w:rFonts w:eastAsiaTheme="minorHAnsi" w:cs="Arial"/>
          <w:szCs w:val="24"/>
        </w:rPr>
        <w:t xml:space="preserve"> 19, </w:t>
      </w:r>
      <w:r w:rsidRPr="002B7F4E">
        <w:rPr>
          <w:rFonts w:eastAsiaTheme="minorHAnsi" w:cs="Arial"/>
          <w:szCs w:val="24"/>
        </w:rPr>
        <w:t xml:space="preserve">the activity continued to over the next 7 months the total accessing was approximately 1,128 an increase of 398 on the previous </w:t>
      </w:r>
      <w:r w:rsidR="00B70560" w:rsidRPr="002B7F4E">
        <w:rPr>
          <w:rFonts w:eastAsiaTheme="minorHAnsi" w:cs="Arial"/>
          <w:szCs w:val="24"/>
        </w:rPr>
        <w:t>year’s</w:t>
      </w:r>
      <w:r w:rsidRPr="002B7F4E">
        <w:rPr>
          <w:rFonts w:eastAsiaTheme="minorHAnsi" w:cs="Arial"/>
          <w:szCs w:val="24"/>
        </w:rPr>
        <w:t xml:space="preserve"> activity.  </w:t>
      </w:r>
    </w:p>
    <w:p w14:paraId="53CF88EF" w14:textId="77777777" w:rsidR="004B1A5A" w:rsidRPr="00940E25" w:rsidRDefault="004B1A5A" w:rsidP="004B1A5A">
      <w:pPr>
        <w:pStyle w:val="ListParagraph"/>
        <w:ind w:left="360"/>
        <w:rPr>
          <w:rFonts w:cs="Arial"/>
          <w:szCs w:val="24"/>
        </w:rPr>
      </w:pPr>
    </w:p>
    <w:p w14:paraId="46A6A2FA" w14:textId="5E2C1560" w:rsidR="006D1D68" w:rsidRDefault="00DE605D" w:rsidP="00CA2BCF">
      <w:pPr>
        <w:pStyle w:val="ListParagraph"/>
        <w:numPr>
          <w:ilvl w:val="0"/>
          <w:numId w:val="6"/>
        </w:numPr>
      </w:pPr>
      <w:r w:rsidRPr="00DE605D">
        <w:t>The Council and the CCG entered into a Section 75 Agreement</w:t>
      </w:r>
      <w:r w:rsidR="00801584">
        <w:t xml:space="preserve"> </w:t>
      </w:r>
      <w:r w:rsidRPr="00DE605D">
        <w:t xml:space="preserve">to commission services such as Future in Mind Children and Young People's Emotional, Health and Well-Being Service. </w:t>
      </w:r>
      <w:r w:rsidR="00C04E06">
        <w:t>T</w:t>
      </w:r>
      <w:r w:rsidRPr="00DE605D">
        <w:t xml:space="preserve">he CCG are the lead </w:t>
      </w:r>
      <w:r w:rsidR="005576CB">
        <w:t>c</w:t>
      </w:r>
      <w:r w:rsidRPr="00DE605D">
        <w:t xml:space="preserve">ommissioner </w:t>
      </w:r>
      <w:r w:rsidR="004B1A5A">
        <w:t>and following a competitive procurement process,</w:t>
      </w:r>
      <w:r w:rsidRPr="00DE605D">
        <w:t xml:space="preserve"> appointed a national charity </w:t>
      </w:r>
      <w:r w:rsidR="00801584">
        <w:t>–</w:t>
      </w:r>
      <w:r w:rsidRPr="00DE605D">
        <w:t xml:space="preserve"> Barnardos</w:t>
      </w:r>
      <w:r w:rsidR="00801584">
        <w:t>, as the service provider</w:t>
      </w:r>
      <w:r w:rsidRPr="00DE605D">
        <w:t xml:space="preserve">. </w:t>
      </w:r>
    </w:p>
    <w:p w14:paraId="0C66D349" w14:textId="77777777" w:rsidR="008B509F" w:rsidRDefault="008B509F" w:rsidP="008B509F">
      <w:pPr>
        <w:pStyle w:val="ListParagraph"/>
      </w:pPr>
    </w:p>
    <w:p w14:paraId="1D16BD3F" w14:textId="778B9C88" w:rsidR="008B509F" w:rsidRDefault="007C0A0E" w:rsidP="00CA2BCF">
      <w:pPr>
        <w:pStyle w:val="ListParagraph"/>
        <w:numPr>
          <w:ilvl w:val="0"/>
          <w:numId w:val="6"/>
        </w:numPr>
      </w:pPr>
      <w:r>
        <w:t xml:space="preserve">Children and young people </w:t>
      </w:r>
      <w:r w:rsidR="00641E13">
        <w:t xml:space="preserve">from Harrow </w:t>
      </w:r>
      <w:r w:rsidR="003B6ED3">
        <w:t xml:space="preserve">were involved in the </w:t>
      </w:r>
      <w:r w:rsidR="001B357D">
        <w:t>design</w:t>
      </w:r>
      <w:r w:rsidR="00641E13">
        <w:t xml:space="preserve"> of the new service</w:t>
      </w:r>
      <w:r w:rsidR="001B357D">
        <w:t>, selecti</w:t>
      </w:r>
      <w:r w:rsidR="00C25616">
        <w:t xml:space="preserve">ng </w:t>
      </w:r>
      <w:r w:rsidR="00641E13">
        <w:t xml:space="preserve">the provider </w:t>
      </w:r>
      <w:r w:rsidR="001B357D">
        <w:t>and naming the service from the outset</w:t>
      </w:r>
      <w:r w:rsidR="00BE62F9">
        <w:t xml:space="preserve">.  </w:t>
      </w:r>
      <w:r w:rsidR="00561199">
        <w:t xml:space="preserve">Subsequently </w:t>
      </w:r>
      <w:r w:rsidR="00360D89">
        <w:t xml:space="preserve">a </w:t>
      </w:r>
      <w:r w:rsidR="00B84844">
        <w:t xml:space="preserve">small </w:t>
      </w:r>
      <w:r w:rsidR="00360D89">
        <w:t xml:space="preserve">number </w:t>
      </w:r>
      <w:r w:rsidR="00B84844">
        <w:t xml:space="preserve">of </w:t>
      </w:r>
      <w:r w:rsidR="00360D89">
        <w:t>young people</w:t>
      </w:r>
      <w:r w:rsidR="00B84844">
        <w:t xml:space="preserve"> have continued to be involved in Harrow Horizons </w:t>
      </w:r>
      <w:r w:rsidR="003E6CAE">
        <w:t xml:space="preserve">youth participation group that encourages the voices of service users to </w:t>
      </w:r>
      <w:r w:rsidR="002E1481">
        <w:t xml:space="preserve">help develop </w:t>
      </w:r>
      <w:r w:rsidR="001B04BD">
        <w:t xml:space="preserve">and improve </w:t>
      </w:r>
      <w:r w:rsidR="002E1481">
        <w:t>the</w:t>
      </w:r>
      <w:r w:rsidR="001B04BD">
        <w:t xml:space="preserve"> quality of provision. </w:t>
      </w:r>
      <w:r w:rsidR="002E1481">
        <w:t xml:space="preserve"> </w:t>
      </w:r>
      <w:r w:rsidR="00360D89">
        <w:t xml:space="preserve"> </w:t>
      </w:r>
      <w:r w:rsidR="00641E13">
        <w:t xml:space="preserve"> </w:t>
      </w:r>
      <w:r w:rsidR="001B357D">
        <w:t xml:space="preserve"> </w:t>
      </w:r>
    </w:p>
    <w:p w14:paraId="762CE275" w14:textId="77777777" w:rsidR="004B1A5A" w:rsidRPr="00DE605D" w:rsidRDefault="004B1A5A" w:rsidP="004B1A5A"/>
    <w:p w14:paraId="1233FC8E" w14:textId="6B8C9A1F" w:rsidR="004B1A5A" w:rsidRDefault="00DE605D" w:rsidP="004B1A5A">
      <w:pPr>
        <w:pStyle w:val="ListParagraph"/>
        <w:numPr>
          <w:ilvl w:val="0"/>
          <w:numId w:val="6"/>
        </w:numPr>
      </w:pPr>
      <w:r w:rsidRPr="00DE605D">
        <w:t xml:space="preserve">Harrow Horizons Children </w:t>
      </w:r>
      <w:r w:rsidR="004B1A5A">
        <w:t>and</w:t>
      </w:r>
      <w:r w:rsidRPr="00DE605D">
        <w:t xml:space="preserve"> Young People’s Emotional Health and Wellbeing Targeted Service is run by experienced clinicians and mental health practitioners, the service works closely with schools, providing short- to mid-term therapeutic intervention. Offering mental health and therapeutic support, including early intervention. It offers a person centred, age appropriate and flexible </w:t>
      </w:r>
      <w:r w:rsidR="004B1A5A">
        <w:t>approach</w:t>
      </w:r>
      <w:r w:rsidRPr="00DE605D">
        <w:t>.</w:t>
      </w:r>
    </w:p>
    <w:p w14:paraId="0FF56AAE" w14:textId="77777777" w:rsidR="004B1A5A" w:rsidRDefault="004B1A5A" w:rsidP="004B1A5A"/>
    <w:p w14:paraId="53F017C3" w14:textId="330F886C" w:rsidR="004B1A5A" w:rsidRDefault="004B1A5A" w:rsidP="004B1A5A">
      <w:pPr>
        <w:pStyle w:val="ListParagraph"/>
        <w:numPr>
          <w:ilvl w:val="0"/>
          <w:numId w:val="6"/>
        </w:numPr>
      </w:pPr>
      <w:r w:rsidRPr="00423CC5">
        <w:t xml:space="preserve">The </w:t>
      </w:r>
      <w:r>
        <w:t xml:space="preserve">total annual contract value is </w:t>
      </w:r>
      <w:r w:rsidRPr="00423CC5">
        <w:t>£</w:t>
      </w:r>
      <w:r>
        <w:t>540,000 comprising</w:t>
      </w:r>
      <w:r w:rsidRPr="00423CC5">
        <w:t xml:space="preserve"> £</w:t>
      </w:r>
      <w:r>
        <w:t>270,000</w:t>
      </w:r>
      <w:r w:rsidRPr="00423CC5">
        <w:t xml:space="preserve"> contribution</w:t>
      </w:r>
      <w:r>
        <w:t>s</w:t>
      </w:r>
      <w:r w:rsidRPr="00423CC5">
        <w:t xml:space="preserve"> from the CCG and </w:t>
      </w:r>
      <w:r w:rsidR="0017210B">
        <w:t>the Council</w:t>
      </w:r>
      <w:r w:rsidRPr="00423CC5">
        <w:t>.</w:t>
      </w:r>
      <w:r>
        <w:t xml:space="preserve"> </w:t>
      </w:r>
    </w:p>
    <w:p w14:paraId="3CCC6C68" w14:textId="77777777" w:rsidR="004B1A5A" w:rsidRDefault="004B1A5A" w:rsidP="004B1A5A"/>
    <w:p w14:paraId="1AF246F3" w14:textId="77777777" w:rsidR="004B1A5A" w:rsidRPr="004B1A5A" w:rsidRDefault="004B1A5A" w:rsidP="004B1A5A">
      <w:pPr>
        <w:pStyle w:val="ListParagraph"/>
        <w:numPr>
          <w:ilvl w:val="0"/>
          <w:numId w:val="6"/>
        </w:numPr>
        <w:spacing w:before="29"/>
        <w:ind w:right="-20"/>
        <w:rPr>
          <w:rFonts w:eastAsia="Arial" w:cs="Arial"/>
          <w:position w:val="-1"/>
        </w:rPr>
      </w:pPr>
      <w:r w:rsidRPr="00124B58">
        <w:rPr>
          <w:rFonts w:eastAsiaTheme="minorHAnsi" w:cs="Arial"/>
        </w:rPr>
        <w:t xml:space="preserve">The Service provides good value for money as the financial envelope was set for 4 years with no yearly uplifts and will remain the same for the direct award contractual years. </w:t>
      </w:r>
    </w:p>
    <w:p w14:paraId="5B9898A4" w14:textId="77777777" w:rsidR="004B1A5A" w:rsidRPr="004B1A5A" w:rsidRDefault="004B1A5A" w:rsidP="004B1A5A">
      <w:pPr>
        <w:pStyle w:val="ListParagraph"/>
        <w:rPr>
          <w:rFonts w:eastAsia="Arial" w:cs="Arial"/>
          <w:position w:val="-1"/>
          <w:szCs w:val="24"/>
        </w:rPr>
      </w:pPr>
    </w:p>
    <w:p w14:paraId="776B4EC8" w14:textId="34863028" w:rsidR="004B1A5A" w:rsidRDefault="004B1A5A" w:rsidP="004B1A5A">
      <w:pPr>
        <w:pStyle w:val="ListParagraph"/>
        <w:numPr>
          <w:ilvl w:val="0"/>
          <w:numId w:val="6"/>
        </w:numPr>
        <w:spacing w:before="29"/>
        <w:ind w:right="-20"/>
        <w:rPr>
          <w:rFonts w:eastAsia="Arial" w:cs="Arial"/>
          <w:position w:val="-1"/>
        </w:rPr>
      </w:pPr>
      <w:r>
        <w:rPr>
          <w:rFonts w:eastAsia="Arial" w:cs="Arial"/>
          <w:position w:val="-1"/>
          <w:szCs w:val="24"/>
        </w:rPr>
        <w:t xml:space="preserve">Full staffing capacity has been maintained with a </w:t>
      </w:r>
      <w:r>
        <w:rPr>
          <w:rFonts w:eastAsia="Arial" w:cs="Arial"/>
          <w:position w:val="-1"/>
        </w:rPr>
        <w:t xml:space="preserve">staffing team with a broad range of skills and experience, ensuring they can meet the diverse needs of the children, young people and families receiving a service. </w:t>
      </w:r>
    </w:p>
    <w:p w14:paraId="6ABA432B" w14:textId="77777777" w:rsidR="004B1A5A" w:rsidRDefault="004B1A5A" w:rsidP="004B1A5A">
      <w:pPr>
        <w:pStyle w:val="ListParagraph"/>
        <w:spacing w:before="29"/>
        <w:ind w:left="0" w:right="-20"/>
        <w:rPr>
          <w:rFonts w:eastAsia="Arial" w:cs="Arial"/>
          <w:position w:val="-1"/>
        </w:rPr>
      </w:pPr>
    </w:p>
    <w:p w14:paraId="0967A016" w14:textId="76E614A2" w:rsidR="004B1A5A" w:rsidRPr="004B1A5A" w:rsidRDefault="004B1A5A" w:rsidP="004B1A5A">
      <w:pPr>
        <w:pStyle w:val="ListParagraph"/>
        <w:numPr>
          <w:ilvl w:val="0"/>
          <w:numId w:val="6"/>
        </w:numPr>
        <w:spacing w:before="29"/>
        <w:ind w:right="-20"/>
        <w:rPr>
          <w:rFonts w:eastAsiaTheme="minorHAnsi" w:cs="Arial"/>
          <w:b/>
          <w:bCs/>
        </w:rPr>
      </w:pPr>
      <w:r>
        <w:rPr>
          <w:rFonts w:eastAsia="Arial" w:cs="Arial"/>
          <w:position w:val="-1"/>
        </w:rPr>
        <w:lastRenderedPageBreak/>
        <w:t xml:space="preserve">The </w:t>
      </w:r>
      <w:r>
        <w:rPr>
          <w:rFonts w:cs="Arial"/>
        </w:rPr>
        <w:t>clinicians are trained in a variety of therapeutic modalities</w:t>
      </w:r>
      <w:r w:rsidRPr="0090784C">
        <w:rPr>
          <w:rFonts w:cs="Arial"/>
          <w:szCs w:val="24"/>
        </w:rPr>
        <w:t xml:space="preserve"> </w:t>
      </w:r>
      <w:r>
        <w:rPr>
          <w:rFonts w:cs="Arial"/>
          <w:szCs w:val="24"/>
        </w:rPr>
        <w:t>examples include: psychodynamic therapy, person-</w:t>
      </w:r>
      <w:proofErr w:type="spellStart"/>
      <w:r>
        <w:rPr>
          <w:rFonts w:cs="Arial"/>
          <w:szCs w:val="24"/>
        </w:rPr>
        <w:t>centered</w:t>
      </w:r>
      <w:proofErr w:type="spellEnd"/>
      <w:r>
        <w:rPr>
          <w:rFonts w:cs="Arial"/>
          <w:szCs w:val="24"/>
        </w:rPr>
        <w:t xml:space="preserve"> therapy, art, music, play and drama therapy, integrated eye movement therapy, cognitive behavioural therapy, integrative therapy and therapeutic counselling.</w:t>
      </w:r>
    </w:p>
    <w:p w14:paraId="138F9453" w14:textId="77777777" w:rsidR="004B1A5A" w:rsidRPr="004B1A5A" w:rsidRDefault="004B1A5A" w:rsidP="004B1A5A">
      <w:pPr>
        <w:pStyle w:val="ListParagraph"/>
        <w:rPr>
          <w:rFonts w:eastAsiaTheme="minorHAnsi" w:cs="Arial"/>
          <w:b/>
          <w:bCs/>
        </w:rPr>
      </w:pPr>
    </w:p>
    <w:p w14:paraId="02B95E50" w14:textId="59A3D927" w:rsidR="00A6070D" w:rsidRDefault="004C584C" w:rsidP="007961EF">
      <w:pPr>
        <w:pStyle w:val="ListParagraph"/>
        <w:numPr>
          <w:ilvl w:val="0"/>
          <w:numId w:val="6"/>
        </w:numPr>
        <w:tabs>
          <w:tab w:val="left" w:pos="7245"/>
        </w:tabs>
        <w:rPr>
          <w:iCs/>
        </w:rPr>
      </w:pPr>
      <w:r>
        <w:rPr>
          <w:iCs/>
        </w:rPr>
        <w:t xml:space="preserve">During the </w:t>
      </w:r>
      <w:proofErr w:type="spellStart"/>
      <w:r w:rsidR="00E1242B">
        <w:rPr>
          <w:iCs/>
        </w:rPr>
        <w:t>covid</w:t>
      </w:r>
      <w:proofErr w:type="spellEnd"/>
      <w:r w:rsidR="00E1242B">
        <w:rPr>
          <w:iCs/>
        </w:rPr>
        <w:t xml:space="preserve"> pandemic, c</w:t>
      </w:r>
      <w:r w:rsidR="007961EF" w:rsidRPr="007961EF">
        <w:rPr>
          <w:iCs/>
        </w:rPr>
        <w:t xml:space="preserve">linicians </w:t>
      </w:r>
      <w:r w:rsidR="007961EF">
        <w:rPr>
          <w:iCs/>
        </w:rPr>
        <w:t xml:space="preserve">have reported </w:t>
      </w:r>
      <w:r w:rsidR="003611C4">
        <w:rPr>
          <w:iCs/>
        </w:rPr>
        <w:t xml:space="preserve">since April 2020, </w:t>
      </w:r>
      <w:r w:rsidR="007961EF" w:rsidRPr="007961EF">
        <w:rPr>
          <w:iCs/>
        </w:rPr>
        <w:t xml:space="preserve">a higher number of bereavement cases </w:t>
      </w:r>
      <w:r w:rsidR="00F1597F">
        <w:rPr>
          <w:iCs/>
        </w:rPr>
        <w:t>being referred.  Th</w:t>
      </w:r>
      <w:r w:rsidR="00FB759F">
        <w:rPr>
          <w:iCs/>
        </w:rPr>
        <w:t xml:space="preserve">e </w:t>
      </w:r>
      <w:r w:rsidR="0017210B">
        <w:rPr>
          <w:iCs/>
        </w:rPr>
        <w:t xml:space="preserve">nature of these referrals </w:t>
      </w:r>
      <w:proofErr w:type="gramStart"/>
      <w:r w:rsidR="0017210B">
        <w:rPr>
          <w:iCs/>
        </w:rPr>
        <w:t>are</w:t>
      </w:r>
      <w:proofErr w:type="gramEnd"/>
      <w:r w:rsidR="00A7626C">
        <w:rPr>
          <w:iCs/>
        </w:rPr>
        <w:t xml:space="preserve"> </w:t>
      </w:r>
      <w:r w:rsidR="007961EF" w:rsidRPr="007961EF">
        <w:rPr>
          <w:iCs/>
        </w:rPr>
        <w:t>more complex grief due to the circumstances</w:t>
      </w:r>
      <w:r w:rsidR="00765072">
        <w:rPr>
          <w:iCs/>
        </w:rPr>
        <w:t xml:space="preserve"> such as n</w:t>
      </w:r>
      <w:r w:rsidR="007961EF" w:rsidRPr="007961EF">
        <w:rPr>
          <w:iCs/>
        </w:rPr>
        <w:t xml:space="preserve">ot being able to say goodbye to family members during lockdown. </w:t>
      </w:r>
    </w:p>
    <w:p w14:paraId="1C63CDED" w14:textId="77777777" w:rsidR="00A6070D" w:rsidRPr="00A6070D" w:rsidRDefault="00A6070D" w:rsidP="00A6070D">
      <w:pPr>
        <w:pStyle w:val="ListParagraph"/>
        <w:rPr>
          <w:iCs/>
        </w:rPr>
      </w:pPr>
    </w:p>
    <w:p w14:paraId="1BEBB6B3" w14:textId="51C2F721" w:rsidR="007961EF" w:rsidRDefault="00A6070D" w:rsidP="007961EF">
      <w:pPr>
        <w:pStyle w:val="ListParagraph"/>
        <w:numPr>
          <w:ilvl w:val="0"/>
          <w:numId w:val="6"/>
        </w:numPr>
        <w:tabs>
          <w:tab w:val="left" w:pos="7245"/>
        </w:tabs>
        <w:rPr>
          <w:iCs/>
        </w:rPr>
      </w:pPr>
      <w:r>
        <w:rPr>
          <w:iCs/>
        </w:rPr>
        <w:t xml:space="preserve">In </w:t>
      </w:r>
      <w:r w:rsidR="00B70560">
        <w:rPr>
          <w:iCs/>
        </w:rPr>
        <w:t>addition,</w:t>
      </w:r>
      <w:r>
        <w:rPr>
          <w:iCs/>
        </w:rPr>
        <w:t xml:space="preserve"> the clinicians </w:t>
      </w:r>
      <w:r w:rsidR="00ED1C7E">
        <w:rPr>
          <w:iCs/>
        </w:rPr>
        <w:t xml:space="preserve">have observed </w:t>
      </w:r>
      <w:r w:rsidR="007961EF" w:rsidRPr="007961EF">
        <w:rPr>
          <w:iCs/>
        </w:rPr>
        <w:t>higher levels of general and school-based anxiety, particularly for older young people who have missed the opportunity to sit GCSE</w:t>
      </w:r>
      <w:r w:rsidR="004743C0">
        <w:rPr>
          <w:iCs/>
        </w:rPr>
        <w:t xml:space="preserve"> and A le</w:t>
      </w:r>
      <w:r w:rsidR="00AF0330">
        <w:rPr>
          <w:iCs/>
        </w:rPr>
        <w:t>vel exams</w:t>
      </w:r>
      <w:r w:rsidR="007961EF" w:rsidRPr="007961EF">
        <w:rPr>
          <w:iCs/>
        </w:rPr>
        <w:t>.</w:t>
      </w:r>
    </w:p>
    <w:p w14:paraId="7EE113F2" w14:textId="77777777" w:rsidR="00AF1A4A" w:rsidRPr="00AF1A4A" w:rsidRDefault="00AF1A4A" w:rsidP="00AF1A4A">
      <w:pPr>
        <w:pStyle w:val="ListParagraph"/>
        <w:rPr>
          <w:iCs/>
        </w:rPr>
      </w:pPr>
    </w:p>
    <w:p w14:paraId="3F8F7DFC" w14:textId="042F7076" w:rsidR="00AF1A4A" w:rsidRDefault="002E6257" w:rsidP="007961EF">
      <w:pPr>
        <w:pStyle w:val="ListParagraph"/>
        <w:numPr>
          <w:ilvl w:val="0"/>
          <w:numId w:val="6"/>
        </w:numPr>
        <w:tabs>
          <w:tab w:val="left" w:pos="7245"/>
        </w:tabs>
        <w:rPr>
          <w:iCs/>
        </w:rPr>
      </w:pPr>
      <w:r>
        <w:rPr>
          <w:iCs/>
        </w:rPr>
        <w:t xml:space="preserve">In </w:t>
      </w:r>
      <w:r w:rsidR="00F8682C">
        <w:rPr>
          <w:iCs/>
        </w:rPr>
        <w:t>respond</w:t>
      </w:r>
      <w:r>
        <w:rPr>
          <w:iCs/>
        </w:rPr>
        <w:t>ing</w:t>
      </w:r>
      <w:r w:rsidR="00F8682C">
        <w:rPr>
          <w:iCs/>
        </w:rPr>
        <w:t xml:space="preserve"> to the</w:t>
      </w:r>
      <w:r w:rsidR="00BB7C91">
        <w:rPr>
          <w:iCs/>
        </w:rPr>
        <w:t xml:space="preserve"> </w:t>
      </w:r>
      <w:r w:rsidR="0009238C">
        <w:rPr>
          <w:iCs/>
        </w:rPr>
        <w:t xml:space="preserve">government guidelines on safe practice, </w:t>
      </w:r>
      <w:r w:rsidR="00BB7C91">
        <w:rPr>
          <w:iCs/>
        </w:rPr>
        <w:t xml:space="preserve">the service provider has adapted their delivery model </w:t>
      </w:r>
      <w:r w:rsidR="00FD1495">
        <w:rPr>
          <w:iCs/>
        </w:rPr>
        <w:t xml:space="preserve">to ensure a continuity of </w:t>
      </w:r>
      <w:r w:rsidR="00AF1A4A" w:rsidRPr="00AF1A4A">
        <w:rPr>
          <w:iCs/>
        </w:rPr>
        <w:t>support</w:t>
      </w:r>
      <w:r w:rsidR="00FD1495">
        <w:rPr>
          <w:iCs/>
        </w:rPr>
        <w:t xml:space="preserve"> to </w:t>
      </w:r>
      <w:r w:rsidR="00E64A49">
        <w:rPr>
          <w:iCs/>
        </w:rPr>
        <w:t xml:space="preserve">their </w:t>
      </w:r>
      <w:r w:rsidR="00AF1A4A" w:rsidRPr="00AF1A4A">
        <w:rPr>
          <w:iCs/>
        </w:rPr>
        <w:t xml:space="preserve">vulnerable young </w:t>
      </w:r>
      <w:r w:rsidR="00A51193">
        <w:rPr>
          <w:iCs/>
        </w:rPr>
        <w:t xml:space="preserve">people </w:t>
      </w:r>
      <w:r w:rsidR="00AF1A4A" w:rsidRPr="00AF1A4A">
        <w:rPr>
          <w:iCs/>
        </w:rPr>
        <w:t xml:space="preserve">by </w:t>
      </w:r>
      <w:r w:rsidR="00A51193">
        <w:rPr>
          <w:iCs/>
        </w:rPr>
        <w:t xml:space="preserve">introducing </w:t>
      </w:r>
      <w:r w:rsidR="00AF1A4A" w:rsidRPr="00AF1A4A">
        <w:rPr>
          <w:iCs/>
        </w:rPr>
        <w:t>telephone</w:t>
      </w:r>
      <w:r w:rsidR="00C305F3">
        <w:rPr>
          <w:iCs/>
        </w:rPr>
        <w:t>, v</w:t>
      </w:r>
      <w:r w:rsidR="00AF1A4A" w:rsidRPr="00AF1A4A">
        <w:rPr>
          <w:iCs/>
        </w:rPr>
        <w:t>ideo link and operating an information and referral advice line for professionals, families and young people.</w:t>
      </w:r>
    </w:p>
    <w:p w14:paraId="57E63CE5" w14:textId="77777777" w:rsidR="006D4380" w:rsidRPr="006D4380" w:rsidRDefault="006D4380" w:rsidP="006D4380">
      <w:pPr>
        <w:pStyle w:val="ListParagraph"/>
        <w:rPr>
          <w:iCs/>
        </w:rPr>
      </w:pPr>
    </w:p>
    <w:p w14:paraId="2AFA1AE3" w14:textId="2463F47A" w:rsidR="006D4380" w:rsidRPr="007961EF" w:rsidRDefault="006D4380" w:rsidP="007961EF">
      <w:pPr>
        <w:pStyle w:val="ListParagraph"/>
        <w:numPr>
          <w:ilvl w:val="0"/>
          <w:numId w:val="6"/>
        </w:numPr>
        <w:tabs>
          <w:tab w:val="left" w:pos="7245"/>
        </w:tabs>
        <w:rPr>
          <w:iCs/>
        </w:rPr>
      </w:pPr>
      <w:r w:rsidRPr="006D4380">
        <w:rPr>
          <w:iCs/>
        </w:rPr>
        <w:t xml:space="preserve">Clinicians have </w:t>
      </w:r>
      <w:r w:rsidR="00A30CB9">
        <w:rPr>
          <w:iCs/>
        </w:rPr>
        <w:t xml:space="preserve">reported </w:t>
      </w:r>
      <w:r w:rsidRPr="006D4380">
        <w:rPr>
          <w:iCs/>
        </w:rPr>
        <w:t>that</w:t>
      </w:r>
      <w:r w:rsidR="00A30CB9">
        <w:rPr>
          <w:iCs/>
        </w:rPr>
        <w:t xml:space="preserve"> the </w:t>
      </w:r>
      <w:r w:rsidR="00A26E50">
        <w:rPr>
          <w:iCs/>
        </w:rPr>
        <w:t xml:space="preserve">adapted </w:t>
      </w:r>
      <w:r w:rsidR="00A30CB9">
        <w:rPr>
          <w:iCs/>
        </w:rPr>
        <w:t>r</w:t>
      </w:r>
      <w:r w:rsidRPr="006D4380">
        <w:rPr>
          <w:iCs/>
        </w:rPr>
        <w:t>emote working</w:t>
      </w:r>
      <w:r w:rsidR="00A26E50">
        <w:rPr>
          <w:iCs/>
        </w:rPr>
        <w:t xml:space="preserve"> </w:t>
      </w:r>
      <w:r w:rsidR="00B65773">
        <w:rPr>
          <w:iCs/>
        </w:rPr>
        <w:t>model</w:t>
      </w:r>
      <w:r w:rsidR="00A30CB9">
        <w:rPr>
          <w:iCs/>
        </w:rPr>
        <w:t xml:space="preserve">, even with </w:t>
      </w:r>
      <w:r w:rsidR="00B65773">
        <w:rPr>
          <w:iCs/>
        </w:rPr>
        <w:t xml:space="preserve">its own IT challenges, </w:t>
      </w:r>
      <w:r w:rsidRPr="006D4380">
        <w:rPr>
          <w:iCs/>
        </w:rPr>
        <w:t xml:space="preserve">has </w:t>
      </w:r>
      <w:r w:rsidR="00B92BB6">
        <w:rPr>
          <w:iCs/>
        </w:rPr>
        <w:t xml:space="preserve">shown </w:t>
      </w:r>
      <w:r w:rsidRPr="006D4380">
        <w:rPr>
          <w:iCs/>
        </w:rPr>
        <w:t xml:space="preserve">to be a positive alternative </w:t>
      </w:r>
      <w:r w:rsidR="00FF6F7C">
        <w:rPr>
          <w:iCs/>
        </w:rPr>
        <w:t xml:space="preserve">for </w:t>
      </w:r>
      <w:r w:rsidR="00B92BB6">
        <w:rPr>
          <w:iCs/>
        </w:rPr>
        <w:t xml:space="preserve">children and young people.  </w:t>
      </w:r>
      <w:r w:rsidR="0004761B">
        <w:rPr>
          <w:iCs/>
        </w:rPr>
        <w:t>Feedback gathered</w:t>
      </w:r>
      <w:r w:rsidR="00234988">
        <w:rPr>
          <w:iCs/>
        </w:rPr>
        <w:t xml:space="preserve"> </w:t>
      </w:r>
      <w:r w:rsidR="00B21620">
        <w:rPr>
          <w:iCs/>
        </w:rPr>
        <w:t xml:space="preserve">showed that for </w:t>
      </w:r>
      <w:r w:rsidR="00E4078C">
        <w:rPr>
          <w:iCs/>
        </w:rPr>
        <w:t xml:space="preserve">some service users, </w:t>
      </w:r>
      <w:r w:rsidRPr="006D4380">
        <w:rPr>
          <w:iCs/>
        </w:rPr>
        <w:t xml:space="preserve">telephone counselling </w:t>
      </w:r>
      <w:r w:rsidR="00E4078C">
        <w:rPr>
          <w:iCs/>
        </w:rPr>
        <w:t xml:space="preserve">can be </w:t>
      </w:r>
      <w:r w:rsidRPr="006D4380">
        <w:rPr>
          <w:iCs/>
        </w:rPr>
        <w:t xml:space="preserve">more accessible and preferred method of support, than face to face </w:t>
      </w:r>
      <w:r w:rsidR="00E4078C">
        <w:rPr>
          <w:iCs/>
        </w:rPr>
        <w:t>interventions</w:t>
      </w:r>
      <w:r w:rsidR="006D513C">
        <w:rPr>
          <w:iCs/>
        </w:rPr>
        <w:t xml:space="preserve">.  </w:t>
      </w:r>
      <w:r w:rsidR="00C144F1">
        <w:rPr>
          <w:iCs/>
        </w:rPr>
        <w:t>This method als</w:t>
      </w:r>
      <w:r w:rsidR="006D513C">
        <w:rPr>
          <w:iCs/>
        </w:rPr>
        <w:t>o al</w:t>
      </w:r>
      <w:r w:rsidR="00986F0A">
        <w:rPr>
          <w:iCs/>
        </w:rPr>
        <w:t>low</w:t>
      </w:r>
      <w:r w:rsidR="0032723A">
        <w:rPr>
          <w:iCs/>
        </w:rPr>
        <w:t>ed</w:t>
      </w:r>
      <w:r w:rsidR="00986F0A">
        <w:rPr>
          <w:iCs/>
        </w:rPr>
        <w:t xml:space="preserve"> </w:t>
      </w:r>
      <w:r w:rsidR="00830E7F">
        <w:rPr>
          <w:iCs/>
        </w:rPr>
        <w:t xml:space="preserve">greater </w:t>
      </w:r>
      <w:r w:rsidR="006D513C">
        <w:rPr>
          <w:iCs/>
        </w:rPr>
        <w:t xml:space="preserve">interaction and involvement with </w:t>
      </w:r>
      <w:r w:rsidRPr="006D4380">
        <w:rPr>
          <w:iCs/>
        </w:rPr>
        <w:t xml:space="preserve">parents and carers </w:t>
      </w:r>
      <w:r w:rsidR="00B42201">
        <w:rPr>
          <w:iCs/>
        </w:rPr>
        <w:t xml:space="preserve">due to a change in </w:t>
      </w:r>
      <w:r w:rsidR="00AB3AC8">
        <w:rPr>
          <w:iCs/>
        </w:rPr>
        <w:t>their working patterns</w:t>
      </w:r>
      <w:r w:rsidR="00513679">
        <w:rPr>
          <w:iCs/>
        </w:rPr>
        <w:t>.</w:t>
      </w:r>
    </w:p>
    <w:p w14:paraId="2C1E86C8" w14:textId="69AFCC24" w:rsidR="00B83561" w:rsidRDefault="00B83561" w:rsidP="004B1A5A">
      <w:pPr>
        <w:pStyle w:val="ListParagraph"/>
        <w:ind w:left="360"/>
        <w:rPr>
          <w:rFonts w:eastAsiaTheme="minorHAnsi" w:cs="Arial"/>
          <w:szCs w:val="24"/>
        </w:rPr>
      </w:pPr>
    </w:p>
    <w:p w14:paraId="18375D9E" w14:textId="77777777" w:rsidR="007961EF" w:rsidRDefault="007961EF" w:rsidP="004B1A5A">
      <w:pPr>
        <w:pStyle w:val="ListParagraph"/>
        <w:ind w:left="360"/>
        <w:rPr>
          <w:rFonts w:eastAsiaTheme="minorHAnsi" w:cs="Arial"/>
          <w:szCs w:val="24"/>
        </w:rPr>
      </w:pPr>
    </w:p>
    <w:p w14:paraId="1C266025" w14:textId="26746601" w:rsidR="00B325B9" w:rsidRPr="004B1A5A" w:rsidRDefault="00B325B9" w:rsidP="004B1A5A">
      <w:pPr>
        <w:ind w:left="360"/>
        <w:rPr>
          <w:rFonts w:cs="Arial"/>
          <w:bCs/>
          <w:u w:val="single"/>
        </w:rPr>
      </w:pPr>
      <w:r w:rsidRPr="004B1A5A">
        <w:rPr>
          <w:rFonts w:cs="Arial"/>
          <w:bCs/>
          <w:u w:val="single"/>
        </w:rPr>
        <w:t>Careers, Information, Advice, Guidance to Young People</w:t>
      </w:r>
      <w:r w:rsidR="004B1A5A" w:rsidRPr="004B1A5A">
        <w:rPr>
          <w:rFonts w:eastAsiaTheme="minorHAnsi" w:cs="Arial"/>
          <w:bCs/>
          <w:szCs w:val="24"/>
          <w:u w:val="single"/>
        </w:rPr>
        <w:t xml:space="preserve"> </w:t>
      </w:r>
    </w:p>
    <w:p w14:paraId="23103A1C" w14:textId="77777777" w:rsidR="004B1A5A" w:rsidRPr="004F7E0E" w:rsidRDefault="004B1A5A" w:rsidP="00B325B9">
      <w:pPr>
        <w:rPr>
          <w:rFonts w:cs="Arial"/>
          <w:b/>
        </w:rPr>
      </w:pPr>
    </w:p>
    <w:p w14:paraId="04BC4E0D" w14:textId="7DCEA56D" w:rsidR="0022069E" w:rsidRDefault="00C019C0" w:rsidP="00DE605D">
      <w:pPr>
        <w:pStyle w:val="ListParagraph"/>
        <w:numPr>
          <w:ilvl w:val="0"/>
          <w:numId w:val="6"/>
        </w:numPr>
      </w:pPr>
      <w:r w:rsidRPr="00C019C0">
        <w:t>The Education Act 2011 places the duty for local authorities to encourage, enable or assist young people’s participation in education or training and to assist the most vulnerable and risk of disengaging with education or work.  In addition, Local Authorities are expected to have arrangements in place to ensure that 16 and 17 year olds have received an offer of a suitable place in post-16 education or training and that they are assisted to take up a place.</w:t>
      </w:r>
    </w:p>
    <w:p w14:paraId="3B21D441" w14:textId="77777777" w:rsidR="009B791F" w:rsidRDefault="009B791F" w:rsidP="009B791F">
      <w:pPr>
        <w:pStyle w:val="ListParagraph"/>
        <w:ind w:left="360"/>
      </w:pPr>
    </w:p>
    <w:p w14:paraId="64A0AC4D" w14:textId="7BAD34E4" w:rsidR="00C019C0" w:rsidRPr="00DE605D" w:rsidRDefault="001A5006" w:rsidP="00DE605D">
      <w:pPr>
        <w:pStyle w:val="ListParagraph"/>
        <w:numPr>
          <w:ilvl w:val="0"/>
          <w:numId w:val="6"/>
        </w:numPr>
      </w:pPr>
      <w:r w:rsidRPr="001A5006">
        <w:t>Prospects</w:t>
      </w:r>
      <w:r w:rsidR="00A97124">
        <w:t xml:space="preserve"> Services</w:t>
      </w:r>
      <w:r w:rsidRPr="001A5006">
        <w:t xml:space="preserve"> is commissioned to fulfil the </w:t>
      </w:r>
      <w:r w:rsidR="00403BDE">
        <w:t>Council’s</w:t>
      </w:r>
      <w:r w:rsidRPr="001A5006">
        <w:t xml:space="preserve"> duties in relation to encouraging, enabling and assisting young people to participate in education, employment or training and to provide Careers Information, Advice and Guidance to young people targeted as those most in need until the end of their contract term, March 2021.   </w:t>
      </w:r>
    </w:p>
    <w:p w14:paraId="3AE93987" w14:textId="77777777" w:rsidR="004B1A5A" w:rsidRPr="004B1A5A" w:rsidRDefault="004B1A5A" w:rsidP="00333FAA">
      <w:pPr>
        <w:pStyle w:val="Heading2"/>
        <w:rPr>
          <w:rFonts w:ascii="Arial" w:hAnsi="Arial"/>
          <w:b w:val="0"/>
          <w:bCs w:val="0"/>
          <w:sz w:val="24"/>
          <w:szCs w:val="24"/>
        </w:rPr>
      </w:pPr>
    </w:p>
    <w:p w14:paraId="6CE6FE43" w14:textId="3B03CDCC" w:rsidR="004B1A5A" w:rsidRPr="00124B58" w:rsidRDefault="004B1A5A" w:rsidP="004B1A5A">
      <w:pPr>
        <w:pStyle w:val="ListParagraph"/>
        <w:numPr>
          <w:ilvl w:val="0"/>
          <w:numId w:val="6"/>
        </w:numPr>
        <w:rPr>
          <w:rFonts w:eastAsiaTheme="minorHAnsi" w:cs="Arial"/>
        </w:rPr>
      </w:pPr>
      <w:r w:rsidRPr="00124B58">
        <w:rPr>
          <w:rFonts w:eastAsiaTheme="minorHAnsi" w:cs="Arial"/>
        </w:rPr>
        <w:t xml:space="preserve">The annual contract value is £400,000.  For the </w:t>
      </w:r>
      <w:r w:rsidR="00C308FE">
        <w:rPr>
          <w:rFonts w:eastAsiaTheme="minorHAnsi" w:cs="Arial"/>
        </w:rPr>
        <w:t xml:space="preserve">period of 18 months </w:t>
      </w:r>
      <w:r w:rsidRPr="00124B58">
        <w:rPr>
          <w:rFonts w:eastAsiaTheme="minorHAnsi" w:cs="Arial"/>
        </w:rPr>
        <w:t>direct award period the contract value will be £</w:t>
      </w:r>
      <w:r w:rsidR="00C308FE">
        <w:rPr>
          <w:rFonts w:eastAsiaTheme="minorHAnsi" w:cs="Arial"/>
        </w:rPr>
        <w:t>6</w:t>
      </w:r>
      <w:r w:rsidRPr="00124B58">
        <w:rPr>
          <w:rFonts w:eastAsiaTheme="minorHAnsi" w:cs="Arial"/>
        </w:rPr>
        <w:t>00,000.</w:t>
      </w:r>
    </w:p>
    <w:p w14:paraId="74B5441A" w14:textId="77777777" w:rsidR="004B1A5A" w:rsidRDefault="004B1A5A" w:rsidP="004B1A5A">
      <w:pPr>
        <w:rPr>
          <w:rFonts w:eastAsiaTheme="minorHAnsi" w:cs="Arial"/>
        </w:rPr>
      </w:pPr>
    </w:p>
    <w:p w14:paraId="69028BB5" w14:textId="3E5CA10A" w:rsidR="004B1A5A" w:rsidRDefault="004B1A5A" w:rsidP="004B1A5A">
      <w:pPr>
        <w:pStyle w:val="ListParagraph"/>
        <w:numPr>
          <w:ilvl w:val="0"/>
          <w:numId w:val="6"/>
        </w:numPr>
        <w:rPr>
          <w:rFonts w:eastAsiaTheme="minorHAnsi" w:cs="Arial"/>
        </w:rPr>
      </w:pPr>
      <w:r w:rsidRPr="00124B58">
        <w:rPr>
          <w:rFonts w:eastAsiaTheme="minorHAnsi" w:cs="Arial"/>
        </w:rPr>
        <w:t xml:space="preserve">The </w:t>
      </w:r>
      <w:r w:rsidR="00403BDE">
        <w:rPr>
          <w:rFonts w:eastAsiaTheme="minorHAnsi" w:cs="Arial"/>
        </w:rPr>
        <w:t>s</w:t>
      </w:r>
      <w:r w:rsidRPr="00124B58">
        <w:rPr>
          <w:rFonts w:eastAsiaTheme="minorHAnsi" w:cs="Arial"/>
        </w:rPr>
        <w:t xml:space="preserve">ervice provides good value for money as the financial envelope was set for 5 years with no yearly uplifts and will remain the same for the extension </w:t>
      </w:r>
      <w:r w:rsidR="00F97B09">
        <w:rPr>
          <w:rFonts w:eastAsiaTheme="minorHAnsi" w:cs="Arial"/>
        </w:rPr>
        <w:t>period</w:t>
      </w:r>
      <w:r w:rsidRPr="00124B58">
        <w:rPr>
          <w:rFonts w:eastAsiaTheme="minorHAnsi" w:cs="Arial"/>
        </w:rPr>
        <w:t>. It has shown year on year increases in activity targets.</w:t>
      </w:r>
    </w:p>
    <w:p w14:paraId="78A609E5" w14:textId="77777777" w:rsidR="0018055C" w:rsidRPr="0018055C" w:rsidRDefault="0018055C" w:rsidP="0018055C">
      <w:pPr>
        <w:pStyle w:val="ListParagraph"/>
        <w:rPr>
          <w:rFonts w:eastAsiaTheme="minorHAnsi" w:cs="Arial"/>
        </w:rPr>
      </w:pPr>
    </w:p>
    <w:p w14:paraId="691B6E83" w14:textId="77777777" w:rsidR="00B56D4E" w:rsidRDefault="0046736C" w:rsidP="004B1A5A">
      <w:pPr>
        <w:pStyle w:val="ListParagraph"/>
        <w:numPr>
          <w:ilvl w:val="0"/>
          <w:numId w:val="6"/>
        </w:numPr>
        <w:rPr>
          <w:rFonts w:eastAsiaTheme="minorHAnsi" w:cs="Arial"/>
        </w:rPr>
      </w:pPr>
      <w:r w:rsidRPr="0046736C">
        <w:rPr>
          <w:rFonts w:eastAsiaTheme="minorHAnsi" w:cs="Arial"/>
        </w:rPr>
        <w:lastRenderedPageBreak/>
        <w:t xml:space="preserve">Although in Harrow the NEET numbers are low, those that make up this cohort, in the main, have multiple barriers. During the </w:t>
      </w:r>
      <w:proofErr w:type="spellStart"/>
      <w:r w:rsidR="0068070C">
        <w:rPr>
          <w:rFonts w:eastAsiaTheme="minorHAnsi" w:cs="Arial"/>
        </w:rPr>
        <w:t>covid</w:t>
      </w:r>
      <w:proofErr w:type="spellEnd"/>
      <w:r w:rsidR="0068070C">
        <w:rPr>
          <w:rFonts w:eastAsiaTheme="minorHAnsi" w:cs="Arial"/>
        </w:rPr>
        <w:t xml:space="preserve"> </w:t>
      </w:r>
      <w:r w:rsidRPr="0046736C">
        <w:rPr>
          <w:rFonts w:eastAsiaTheme="minorHAnsi" w:cs="Arial"/>
        </w:rPr>
        <w:t>pandemic Careers Advisers have continued to build a rapport with existing NEET and young people that have become NEET via telephone, video calls,</w:t>
      </w:r>
      <w:r w:rsidR="0068070C">
        <w:rPr>
          <w:rFonts w:eastAsiaTheme="minorHAnsi" w:cs="Arial"/>
        </w:rPr>
        <w:t xml:space="preserve"> </w:t>
      </w:r>
      <w:r w:rsidRPr="0046736C">
        <w:rPr>
          <w:rFonts w:eastAsiaTheme="minorHAnsi" w:cs="Arial"/>
        </w:rPr>
        <w:t>emails and through other professionals</w:t>
      </w:r>
      <w:r w:rsidR="00B56D4E">
        <w:rPr>
          <w:rFonts w:eastAsiaTheme="minorHAnsi" w:cs="Arial"/>
        </w:rPr>
        <w:t>.</w:t>
      </w:r>
    </w:p>
    <w:p w14:paraId="5C6B8416" w14:textId="77777777" w:rsidR="00B56D4E" w:rsidRPr="00B56D4E" w:rsidRDefault="00B56D4E" w:rsidP="00B56D4E">
      <w:pPr>
        <w:pStyle w:val="ListParagraph"/>
        <w:rPr>
          <w:rFonts w:eastAsiaTheme="minorHAnsi" w:cs="Arial"/>
        </w:rPr>
      </w:pPr>
    </w:p>
    <w:p w14:paraId="0E4498C9" w14:textId="00A018A5" w:rsidR="0018055C" w:rsidRDefault="00B56D4E" w:rsidP="004B1A5A">
      <w:pPr>
        <w:pStyle w:val="ListParagraph"/>
        <w:numPr>
          <w:ilvl w:val="0"/>
          <w:numId w:val="6"/>
        </w:numPr>
        <w:rPr>
          <w:rFonts w:eastAsiaTheme="minorHAnsi" w:cs="Arial"/>
        </w:rPr>
      </w:pPr>
      <w:r>
        <w:rPr>
          <w:rFonts w:eastAsiaTheme="minorHAnsi" w:cs="Arial"/>
        </w:rPr>
        <w:t xml:space="preserve">Careers Advisors have </w:t>
      </w:r>
      <w:r w:rsidR="00F222EB">
        <w:rPr>
          <w:rFonts w:eastAsiaTheme="minorHAnsi" w:cs="Arial"/>
        </w:rPr>
        <w:t>noticed that during the</w:t>
      </w:r>
      <w:r w:rsidR="0046736C" w:rsidRPr="0046736C">
        <w:rPr>
          <w:rFonts w:eastAsiaTheme="minorHAnsi" w:cs="Arial"/>
        </w:rPr>
        <w:t xml:space="preserve"> pandemic young people have had increased anxieties and disruptions to their life and have appreciated the ongoing consistent support that has been offered. </w:t>
      </w:r>
      <w:r w:rsidR="00045876">
        <w:rPr>
          <w:rFonts w:eastAsiaTheme="minorHAnsi" w:cs="Arial"/>
        </w:rPr>
        <w:t>The c</w:t>
      </w:r>
      <w:r w:rsidR="0046736C" w:rsidRPr="0046736C">
        <w:rPr>
          <w:rFonts w:eastAsiaTheme="minorHAnsi" w:cs="Arial"/>
        </w:rPr>
        <w:t>onsistency of service and approach is imperative for this cohort of young people who take a long time to engage with support services.</w:t>
      </w:r>
    </w:p>
    <w:p w14:paraId="1B180506" w14:textId="77777777" w:rsidR="009F65E3" w:rsidRPr="009F65E3" w:rsidRDefault="009F65E3" w:rsidP="009F65E3">
      <w:pPr>
        <w:pStyle w:val="ListParagraph"/>
        <w:rPr>
          <w:rFonts w:eastAsiaTheme="minorHAnsi" w:cs="Arial"/>
        </w:rPr>
      </w:pPr>
    </w:p>
    <w:p w14:paraId="3D8A3746" w14:textId="77777777" w:rsidR="001004A4" w:rsidRDefault="001004A4" w:rsidP="004D6550">
      <w:pPr>
        <w:rPr>
          <w:rFonts w:cs="Arial"/>
          <w:b/>
          <w:bCs/>
          <w:szCs w:val="24"/>
        </w:rPr>
      </w:pPr>
    </w:p>
    <w:p w14:paraId="41252E3E" w14:textId="7A774C7F" w:rsidR="004B1A5A" w:rsidRDefault="004B1A5A" w:rsidP="002A48E0">
      <w:pPr>
        <w:ind w:left="360"/>
        <w:rPr>
          <w:rFonts w:cs="Arial"/>
          <w:b/>
          <w:bCs/>
          <w:szCs w:val="24"/>
        </w:rPr>
      </w:pPr>
      <w:r w:rsidRPr="004B1A5A">
        <w:rPr>
          <w:rFonts w:cs="Arial"/>
          <w:b/>
          <w:bCs/>
          <w:szCs w:val="24"/>
        </w:rPr>
        <w:t xml:space="preserve">Next Steps </w:t>
      </w:r>
    </w:p>
    <w:p w14:paraId="4DBE9CB2" w14:textId="77777777" w:rsidR="001004A4" w:rsidRPr="002A48E0" w:rsidRDefault="001004A4" w:rsidP="002A48E0">
      <w:pPr>
        <w:ind w:left="360"/>
        <w:rPr>
          <w:rFonts w:cs="Arial"/>
          <w:b/>
          <w:bCs/>
          <w:szCs w:val="24"/>
        </w:rPr>
      </w:pPr>
    </w:p>
    <w:p w14:paraId="2C129D99" w14:textId="014432A7" w:rsidR="0000438A" w:rsidRDefault="0000438A" w:rsidP="004758C1">
      <w:pPr>
        <w:pStyle w:val="ListParagraph"/>
        <w:numPr>
          <w:ilvl w:val="0"/>
          <w:numId w:val="6"/>
        </w:numPr>
        <w:rPr>
          <w:rFonts w:cs="Arial"/>
          <w:szCs w:val="24"/>
        </w:rPr>
      </w:pPr>
      <w:r>
        <w:rPr>
          <w:rFonts w:cs="Arial"/>
          <w:szCs w:val="24"/>
        </w:rPr>
        <w:t xml:space="preserve">The rationale for seeking approval </w:t>
      </w:r>
      <w:r w:rsidR="00100174">
        <w:rPr>
          <w:rFonts w:cs="Arial"/>
          <w:szCs w:val="24"/>
        </w:rPr>
        <w:t xml:space="preserve">for </w:t>
      </w:r>
      <w:r w:rsidR="00DE2216" w:rsidRPr="00DE2216">
        <w:rPr>
          <w:rFonts w:cs="Arial"/>
          <w:szCs w:val="24"/>
        </w:rPr>
        <w:t>direct awards to current providers to Emotional Wellbeing Service and Careers Information, Advice and Guidance Service to Harrow’s Children and Young People</w:t>
      </w:r>
      <w:r w:rsidR="00BF6A4D">
        <w:rPr>
          <w:rFonts w:cs="Arial"/>
          <w:szCs w:val="24"/>
        </w:rPr>
        <w:t xml:space="preserve"> are </w:t>
      </w:r>
      <w:r w:rsidR="00156659">
        <w:rPr>
          <w:rFonts w:cs="Arial"/>
          <w:szCs w:val="24"/>
        </w:rPr>
        <w:t>as below.</w:t>
      </w:r>
    </w:p>
    <w:p w14:paraId="3D66E7DF" w14:textId="77777777" w:rsidR="0000438A" w:rsidRDefault="0000438A" w:rsidP="0000438A">
      <w:pPr>
        <w:pStyle w:val="ListParagraph"/>
        <w:ind w:left="360"/>
        <w:rPr>
          <w:rFonts w:cs="Arial"/>
          <w:szCs w:val="24"/>
        </w:rPr>
      </w:pPr>
    </w:p>
    <w:p w14:paraId="37BE1796" w14:textId="503F6BAD" w:rsidR="006F1DB7" w:rsidRDefault="001004A4" w:rsidP="004758C1">
      <w:pPr>
        <w:pStyle w:val="ListParagraph"/>
        <w:numPr>
          <w:ilvl w:val="0"/>
          <w:numId w:val="6"/>
        </w:numPr>
        <w:rPr>
          <w:rFonts w:cs="Arial"/>
          <w:szCs w:val="24"/>
        </w:rPr>
      </w:pPr>
      <w:r>
        <w:rPr>
          <w:rFonts w:cs="Arial"/>
          <w:szCs w:val="24"/>
        </w:rPr>
        <w:t>The i</w:t>
      </w:r>
      <w:r w:rsidR="00727DFF" w:rsidRPr="002A48E0">
        <w:rPr>
          <w:rFonts w:cs="Arial"/>
          <w:szCs w:val="24"/>
        </w:rPr>
        <w:t>mpact of</w:t>
      </w:r>
      <w:r>
        <w:rPr>
          <w:rFonts w:cs="Arial"/>
          <w:szCs w:val="24"/>
        </w:rPr>
        <w:t xml:space="preserve"> the </w:t>
      </w:r>
      <w:proofErr w:type="spellStart"/>
      <w:r>
        <w:rPr>
          <w:rFonts w:cs="Arial"/>
          <w:szCs w:val="24"/>
        </w:rPr>
        <w:t>covid</w:t>
      </w:r>
      <w:proofErr w:type="spellEnd"/>
      <w:r w:rsidR="00727DFF" w:rsidRPr="002A48E0">
        <w:rPr>
          <w:rFonts w:cs="Arial"/>
          <w:szCs w:val="24"/>
        </w:rPr>
        <w:t xml:space="preserve"> pandemic has </w:t>
      </w:r>
      <w:r w:rsidR="008B7EBF" w:rsidRPr="002A48E0">
        <w:rPr>
          <w:rFonts w:cs="Arial"/>
          <w:szCs w:val="24"/>
        </w:rPr>
        <w:t xml:space="preserve">restricted the ability to </w:t>
      </w:r>
      <w:r w:rsidR="00937922" w:rsidRPr="002A48E0">
        <w:rPr>
          <w:rFonts w:cs="Arial"/>
          <w:szCs w:val="24"/>
        </w:rPr>
        <w:t xml:space="preserve">co-produce and co-design </w:t>
      </w:r>
      <w:r w:rsidR="00755705">
        <w:rPr>
          <w:rFonts w:cs="Arial"/>
          <w:szCs w:val="24"/>
        </w:rPr>
        <w:t>(</w:t>
      </w:r>
      <w:r w:rsidR="00913E57">
        <w:rPr>
          <w:rFonts w:cs="Arial"/>
          <w:szCs w:val="24"/>
        </w:rPr>
        <w:t xml:space="preserve">with </w:t>
      </w:r>
      <w:r w:rsidR="002E5A2B">
        <w:rPr>
          <w:rFonts w:cs="Arial"/>
          <w:szCs w:val="24"/>
        </w:rPr>
        <w:t>stakeholders</w:t>
      </w:r>
      <w:r w:rsidR="00755705">
        <w:rPr>
          <w:rFonts w:cs="Arial"/>
          <w:szCs w:val="24"/>
        </w:rPr>
        <w:t>)</w:t>
      </w:r>
      <w:r w:rsidR="002E5A2B">
        <w:rPr>
          <w:rFonts w:cs="Arial"/>
          <w:szCs w:val="24"/>
        </w:rPr>
        <w:t xml:space="preserve"> </w:t>
      </w:r>
      <w:r w:rsidR="00EA7F58" w:rsidRPr="002A48E0">
        <w:rPr>
          <w:rFonts w:cs="Arial"/>
          <w:szCs w:val="24"/>
        </w:rPr>
        <w:t>new service</w:t>
      </w:r>
      <w:r w:rsidR="00A36896">
        <w:rPr>
          <w:rFonts w:cs="Arial"/>
          <w:szCs w:val="24"/>
        </w:rPr>
        <w:t>s</w:t>
      </w:r>
      <w:r w:rsidR="00B7663D" w:rsidRPr="002A48E0">
        <w:rPr>
          <w:rFonts w:cs="Arial"/>
          <w:szCs w:val="24"/>
        </w:rPr>
        <w:t xml:space="preserve">, </w:t>
      </w:r>
      <w:r w:rsidR="008B7035">
        <w:rPr>
          <w:rFonts w:cs="Arial"/>
          <w:szCs w:val="24"/>
        </w:rPr>
        <w:t>o</w:t>
      </w:r>
      <w:r w:rsidR="00096338">
        <w:rPr>
          <w:rFonts w:cs="Arial"/>
          <w:szCs w:val="24"/>
        </w:rPr>
        <w:t>fficers have had to</w:t>
      </w:r>
      <w:r w:rsidR="00FA54FA">
        <w:rPr>
          <w:rFonts w:cs="Arial"/>
          <w:szCs w:val="24"/>
        </w:rPr>
        <w:t xml:space="preserve"> shift priorities in order to</w:t>
      </w:r>
      <w:r w:rsidR="00096338">
        <w:rPr>
          <w:rFonts w:cs="Arial"/>
          <w:szCs w:val="24"/>
        </w:rPr>
        <w:t xml:space="preserve"> </w:t>
      </w:r>
      <w:r w:rsidR="00B7663D" w:rsidRPr="002A48E0">
        <w:rPr>
          <w:rFonts w:cs="Arial"/>
          <w:szCs w:val="24"/>
        </w:rPr>
        <w:t>respond to</w:t>
      </w:r>
      <w:r w:rsidR="00645AAB">
        <w:rPr>
          <w:rFonts w:cs="Arial"/>
          <w:szCs w:val="24"/>
        </w:rPr>
        <w:t xml:space="preserve"> the immediate</w:t>
      </w:r>
      <w:r w:rsidR="00B7663D" w:rsidRPr="002A48E0">
        <w:rPr>
          <w:rFonts w:cs="Arial"/>
          <w:szCs w:val="24"/>
        </w:rPr>
        <w:t xml:space="preserve"> need</w:t>
      </w:r>
      <w:r w:rsidR="008B7035">
        <w:rPr>
          <w:rFonts w:cs="Arial"/>
          <w:szCs w:val="24"/>
        </w:rPr>
        <w:t>s of the community</w:t>
      </w:r>
      <w:r w:rsidR="004730A5">
        <w:rPr>
          <w:rFonts w:cs="Arial"/>
          <w:szCs w:val="24"/>
        </w:rPr>
        <w:t xml:space="preserve">.  </w:t>
      </w:r>
    </w:p>
    <w:p w14:paraId="7823D2BF" w14:textId="77777777" w:rsidR="006F1DB7" w:rsidRDefault="006F1DB7" w:rsidP="006F1DB7">
      <w:pPr>
        <w:pStyle w:val="ListParagraph"/>
        <w:ind w:left="360"/>
        <w:rPr>
          <w:rFonts w:cs="Arial"/>
          <w:szCs w:val="24"/>
        </w:rPr>
      </w:pPr>
    </w:p>
    <w:p w14:paraId="7326BA8B" w14:textId="77777777" w:rsidR="00442BE9" w:rsidRDefault="0005495A" w:rsidP="004758C1">
      <w:pPr>
        <w:pStyle w:val="ListParagraph"/>
        <w:numPr>
          <w:ilvl w:val="0"/>
          <w:numId w:val="6"/>
        </w:numPr>
        <w:rPr>
          <w:rFonts w:cs="Arial"/>
          <w:szCs w:val="24"/>
        </w:rPr>
      </w:pPr>
      <w:r>
        <w:rPr>
          <w:rFonts w:cs="Arial"/>
          <w:szCs w:val="24"/>
        </w:rPr>
        <w:t xml:space="preserve">It has been essential to </w:t>
      </w:r>
      <w:r w:rsidR="002007B1">
        <w:rPr>
          <w:rFonts w:cs="Arial"/>
          <w:szCs w:val="24"/>
        </w:rPr>
        <w:t>support and encourage c</w:t>
      </w:r>
      <w:r w:rsidR="00BA05DB" w:rsidRPr="002A48E0">
        <w:rPr>
          <w:rFonts w:cs="Arial"/>
          <w:szCs w:val="24"/>
        </w:rPr>
        <w:t>urrent providers to</w:t>
      </w:r>
      <w:r w:rsidR="002007B1">
        <w:rPr>
          <w:rFonts w:cs="Arial"/>
          <w:szCs w:val="24"/>
        </w:rPr>
        <w:t xml:space="preserve"> </w:t>
      </w:r>
      <w:r>
        <w:rPr>
          <w:rFonts w:cs="Arial"/>
          <w:szCs w:val="24"/>
        </w:rPr>
        <w:t>transition</w:t>
      </w:r>
      <w:r w:rsidR="00D14339">
        <w:rPr>
          <w:rFonts w:cs="Arial"/>
          <w:szCs w:val="24"/>
        </w:rPr>
        <w:t xml:space="preserve"> </w:t>
      </w:r>
      <w:r w:rsidR="002007B1">
        <w:rPr>
          <w:rFonts w:cs="Arial"/>
          <w:szCs w:val="24"/>
        </w:rPr>
        <w:t>thei</w:t>
      </w:r>
      <w:r w:rsidR="00D14339">
        <w:rPr>
          <w:rFonts w:cs="Arial"/>
          <w:szCs w:val="24"/>
        </w:rPr>
        <w:t xml:space="preserve">r current delivery model </w:t>
      </w:r>
      <w:r w:rsidR="001E70B0">
        <w:rPr>
          <w:rFonts w:cs="Arial"/>
          <w:szCs w:val="24"/>
        </w:rPr>
        <w:t xml:space="preserve">to </w:t>
      </w:r>
      <w:r w:rsidR="00847E08">
        <w:rPr>
          <w:rFonts w:cs="Arial"/>
          <w:szCs w:val="24"/>
        </w:rPr>
        <w:t xml:space="preserve">more safe and appropriate </w:t>
      </w:r>
      <w:r w:rsidR="001E70B0">
        <w:rPr>
          <w:rFonts w:cs="Arial"/>
          <w:szCs w:val="24"/>
        </w:rPr>
        <w:t>alternative</w:t>
      </w:r>
      <w:r w:rsidR="00847E08">
        <w:rPr>
          <w:rFonts w:cs="Arial"/>
          <w:szCs w:val="24"/>
        </w:rPr>
        <w:t xml:space="preserve">s ways in order </w:t>
      </w:r>
      <w:r w:rsidR="00880C9E" w:rsidRPr="002A48E0">
        <w:rPr>
          <w:rFonts w:cs="Arial"/>
          <w:szCs w:val="24"/>
        </w:rPr>
        <w:t>to meet the needs</w:t>
      </w:r>
      <w:r w:rsidR="00847E08">
        <w:rPr>
          <w:rFonts w:cs="Arial"/>
          <w:szCs w:val="24"/>
        </w:rPr>
        <w:t xml:space="preserve"> of children</w:t>
      </w:r>
      <w:r w:rsidR="00251177">
        <w:rPr>
          <w:rFonts w:cs="Arial"/>
          <w:szCs w:val="24"/>
        </w:rPr>
        <w:t>, young people and their parents/carers</w:t>
      </w:r>
      <w:r w:rsidR="004B1A5A" w:rsidRPr="002A48E0">
        <w:rPr>
          <w:rFonts w:cs="Arial"/>
          <w:szCs w:val="24"/>
        </w:rPr>
        <w:t xml:space="preserve">. </w:t>
      </w:r>
    </w:p>
    <w:p w14:paraId="2FCF57B7" w14:textId="77777777" w:rsidR="00442BE9" w:rsidRPr="00442BE9" w:rsidRDefault="00442BE9" w:rsidP="00442BE9">
      <w:pPr>
        <w:pStyle w:val="ListParagraph"/>
        <w:rPr>
          <w:rFonts w:cs="Arial"/>
          <w:szCs w:val="24"/>
        </w:rPr>
      </w:pPr>
    </w:p>
    <w:p w14:paraId="71A720F5" w14:textId="7378CA12" w:rsidR="007E5A71" w:rsidRDefault="00412219" w:rsidP="004758C1">
      <w:pPr>
        <w:pStyle w:val="ListParagraph"/>
        <w:numPr>
          <w:ilvl w:val="0"/>
          <w:numId w:val="6"/>
        </w:numPr>
        <w:rPr>
          <w:rFonts w:cs="Arial"/>
          <w:szCs w:val="24"/>
        </w:rPr>
      </w:pPr>
      <w:r>
        <w:rPr>
          <w:rFonts w:cs="Arial"/>
          <w:szCs w:val="24"/>
        </w:rPr>
        <w:t xml:space="preserve">Harrow CCG and the Council have been successful in </w:t>
      </w:r>
      <w:r w:rsidR="00BE597E">
        <w:rPr>
          <w:rFonts w:cs="Arial"/>
          <w:szCs w:val="24"/>
        </w:rPr>
        <w:t>the bid to deliver mental health support team</w:t>
      </w:r>
      <w:r w:rsidR="003D5ED7">
        <w:rPr>
          <w:rFonts w:cs="Arial"/>
          <w:szCs w:val="24"/>
        </w:rPr>
        <w:t xml:space="preserve">s in schools, </w:t>
      </w:r>
      <w:r w:rsidR="005627A1">
        <w:rPr>
          <w:rFonts w:cs="Arial"/>
          <w:szCs w:val="24"/>
        </w:rPr>
        <w:t xml:space="preserve">Barnardos </w:t>
      </w:r>
      <w:r w:rsidR="005B2271">
        <w:rPr>
          <w:rFonts w:cs="Arial"/>
          <w:szCs w:val="24"/>
        </w:rPr>
        <w:t>are a key partner in this initiative</w:t>
      </w:r>
      <w:r w:rsidR="008E193A">
        <w:rPr>
          <w:rFonts w:cs="Arial"/>
          <w:szCs w:val="24"/>
        </w:rPr>
        <w:t>,</w:t>
      </w:r>
      <w:r w:rsidR="005B2271">
        <w:rPr>
          <w:rFonts w:cs="Arial"/>
          <w:szCs w:val="24"/>
        </w:rPr>
        <w:t xml:space="preserve"> </w:t>
      </w:r>
      <w:r w:rsidR="00E878DA">
        <w:rPr>
          <w:rFonts w:cs="Arial"/>
          <w:szCs w:val="24"/>
        </w:rPr>
        <w:t xml:space="preserve">therefore stability </w:t>
      </w:r>
      <w:r w:rsidR="00EE7C83">
        <w:rPr>
          <w:rFonts w:cs="Arial"/>
          <w:szCs w:val="24"/>
        </w:rPr>
        <w:t xml:space="preserve">with the continuation </w:t>
      </w:r>
      <w:r w:rsidR="00F216EB">
        <w:rPr>
          <w:rFonts w:cs="Arial"/>
          <w:szCs w:val="24"/>
        </w:rPr>
        <w:t xml:space="preserve">of </w:t>
      </w:r>
      <w:r w:rsidR="006351DF">
        <w:rPr>
          <w:rFonts w:cs="Arial"/>
          <w:szCs w:val="24"/>
        </w:rPr>
        <w:t xml:space="preserve">service delivery </w:t>
      </w:r>
      <w:r w:rsidR="00F216EB">
        <w:rPr>
          <w:rFonts w:cs="Arial"/>
          <w:szCs w:val="24"/>
        </w:rPr>
        <w:t xml:space="preserve">is </w:t>
      </w:r>
      <w:r w:rsidR="00AB2784">
        <w:rPr>
          <w:rFonts w:cs="Arial"/>
          <w:szCs w:val="24"/>
        </w:rPr>
        <w:t>essential</w:t>
      </w:r>
      <w:r w:rsidR="00F216EB">
        <w:rPr>
          <w:rFonts w:cs="Arial"/>
          <w:szCs w:val="24"/>
        </w:rPr>
        <w:t xml:space="preserve">.  </w:t>
      </w:r>
    </w:p>
    <w:p w14:paraId="33A8594E" w14:textId="77777777" w:rsidR="007E5A71" w:rsidRPr="007E5A71" w:rsidRDefault="007E5A71" w:rsidP="007E5A71">
      <w:pPr>
        <w:pStyle w:val="ListParagraph"/>
        <w:rPr>
          <w:rFonts w:cs="Arial"/>
          <w:szCs w:val="24"/>
        </w:rPr>
      </w:pPr>
    </w:p>
    <w:p w14:paraId="150AFD30" w14:textId="40D13F8A" w:rsidR="008E193A" w:rsidRPr="008E193A" w:rsidRDefault="00260FA9" w:rsidP="008E193A">
      <w:pPr>
        <w:pStyle w:val="ListParagraph"/>
        <w:numPr>
          <w:ilvl w:val="0"/>
          <w:numId w:val="6"/>
        </w:numPr>
        <w:rPr>
          <w:rFonts w:cs="Arial"/>
          <w:szCs w:val="24"/>
        </w:rPr>
      </w:pPr>
      <w:r>
        <w:rPr>
          <w:rFonts w:cs="Arial"/>
          <w:szCs w:val="24"/>
        </w:rPr>
        <w:t>There is anticipation of a rise in NEET young people even though</w:t>
      </w:r>
      <w:r w:rsidR="00CE73ED">
        <w:rPr>
          <w:rFonts w:cs="Arial"/>
          <w:szCs w:val="24"/>
        </w:rPr>
        <w:t xml:space="preserve"> we do not </w:t>
      </w:r>
      <w:r w:rsidR="00C30601">
        <w:rPr>
          <w:rFonts w:cs="Arial"/>
          <w:szCs w:val="24"/>
        </w:rPr>
        <w:t>know</w:t>
      </w:r>
      <w:r w:rsidR="00CE73ED">
        <w:rPr>
          <w:rFonts w:cs="Arial"/>
          <w:szCs w:val="24"/>
        </w:rPr>
        <w:t xml:space="preserve"> to what extent</w:t>
      </w:r>
      <w:r w:rsidR="00885621">
        <w:rPr>
          <w:rFonts w:cs="Arial"/>
          <w:szCs w:val="24"/>
        </w:rPr>
        <w:t xml:space="preserve">, </w:t>
      </w:r>
      <w:r w:rsidR="008E193A" w:rsidRPr="008E193A">
        <w:rPr>
          <w:rFonts w:cs="Arial"/>
          <w:szCs w:val="24"/>
        </w:rPr>
        <w:t xml:space="preserve">the </w:t>
      </w:r>
      <w:proofErr w:type="spellStart"/>
      <w:r w:rsidR="00C30601">
        <w:rPr>
          <w:rFonts w:cs="Arial"/>
          <w:szCs w:val="24"/>
        </w:rPr>
        <w:t>covid</w:t>
      </w:r>
      <w:proofErr w:type="spellEnd"/>
      <w:r w:rsidR="00C30601">
        <w:rPr>
          <w:rFonts w:cs="Arial"/>
          <w:szCs w:val="24"/>
        </w:rPr>
        <w:t xml:space="preserve"> </w:t>
      </w:r>
      <w:r w:rsidR="008E193A" w:rsidRPr="008E193A">
        <w:rPr>
          <w:rFonts w:cs="Arial"/>
          <w:szCs w:val="24"/>
        </w:rPr>
        <w:t>pandemic may cause disengagement from education due to multiple barriers that young people may be facing</w:t>
      </w:r>
      <w:r w:rsidR="00815F83">
        <w:rPr>
          <w:rFonts w:cs="Arial"/>
          <w:szCs w:val="24"/>
        </w:rPr>
        <w:t xml:space="preserve">.  </w:t>
      </w:r>
      <w:r w:rsidR="00403BDE">
        <w:rPr>
          <w:rFonts w:cs="Arial"/>
          <w:szCs w:val="24"/>
        </w:rPr>
        <w:t xml:space="preserve">It is </w:t>
      </w:r>
      <w:r w:rsidR="006364ED">
        <w:rPr>
          <w:rFonts w:cs="Arial"/>
          <w:szCs w:val="24"/>
        </w:rPr>
        <w:t xml:space="preserve">therefore important that </w:t>
      </w:r>
      <w:r w:rsidR="00DE65ED">
        <w:rPr>
          <w:rFonts w:cs="Arial"/>
          <w:szCs w:val="24"/>
        </w:rPr>
        <w:t xml:space="preserve">Prospects Services </w:t>
      </w:r>
      <w:r w:rsidR="007B1D79">
        <w:rPr>
          <w:rFonts w:cs="Arial"/>
          <w:szCs w:val="24"/>
        </w:rPr>
        <w:t>continue to work closely w</w:t>
      </w:r>
      <w:r w:rsidR="008E193A" w:rsidRPr="008E193A">
        <w:rPr>
          <w:rFonts w:cs="Arial"/>
          <w:szCs w:val="24"/>
        </w:rPr>
        <w:t xml:space="preserve">ith schools </w:t>
      </w:r>
      <w:r w:rsidR="007B1D79">
        <w:rPr>
          <w:rFonts w:cs="Arial"/>
          <w:szCs w:val="24"/>
        </w:rPr>
        <w:t>so</w:t>
      </w:r>
      <w:r w:rsidR="008E193A" w:rsidRPr="008E193A">
        <w:rPr>
          <w:rFonts w:cs="Arial"/>
          <w:szCs w:val="24"/>
        </w:rPr>
        <w:t xml:space="preserve"> that the</w:t>
      </w:r>
      <w:r w:rsidR="00C67C8F">
        <w:rPr>
          <w:rFonts w:cs="Arial"/>
          <w:szCs w:val="24"/>
        </w:rPr>
        <w:t>y</w:t>
      </w:r>
      <w:r w:rsidR="008E193A" w:rsidRPr="008E193A">
        <w:rPr>
          <w:rFonts w:cs="Arial"/>
          <w:szCs w:val="24"/>
        </w:rPr>
        <w:t xml:space="preserve"> are informed of young people dropping out of education at the earliest point and are able to work alongside agencies to build a package of support around the young person</w:t>
      </w:r>
      <w:r w:rsidR="003052B7">
        <w:rPr>
          <w:rFonts w:cs="Arial"/>
          <w:szCs w:val="24"/>
        </w:rPr>
        <w:t xml:space="preserve">, support them </w:t>
      </w:r>
      <w:r w:rsidR="00D44965">
        <w:rPr>
          <w:rFonts w:cs="Arial"/>
          <w:szCs w:val="24"/>
        </w:rPr>
        <w:t>to m</w:t>
      </w:r>
      <w:r w:rsidR="008E193A" w:rsidRPr="008E193A">
        <w:rPr>
          <w:rFonts w:cs="Arial"/>
          <w:szCs w:val="24"/>
        </w:rPr>
        <w:t>ov</w:t>
      </w:r>
      <w:r w:rsidR="00D44965">
        <w:rPr>
          <w:rFonts w:cs="Arial"/>
          <w:szCs w:val="24"/>
        </w:rPr>
        <w:t>e</w:t>
      </w:r>
      <w:r w:rsidR="008E193A" w:rsidRPr="008E193A">
        <w:rPr>
          <w:rFonts w:cs="Arial"/>
          <w:szCs w:val="24"/>
        </w:rPr>
        <w:t xml:space="preserve"> back into EET</w:t>
      </w:r>
      <w:r w:rsidR="00D44965">
        <w:rPr>
          <w:rFonts w:cs="Arial"/>
          <w:szCs w:val="24"/>
        </w:rPr>
        <w:t>.</w:t>
      </w:r>
    </w:p>
    <w:p w14:paraId="710013B8" w14:textId="77777777" w:rsidR="008E193A" w:rsidRPr="008E193A" w:rsidRDefault="008E193A" w:rsidP="008E193A">
      <w:pPr>
        <w:pStyle w:val="ListParagraph"/>
        <w:rPr>
          <w:rFonts w:cs="Arial"/>
          <w:color w:val="0000FF"/>
          <w:szCs w:val="24"/>
        </w:rPr>
      </w:pPr>
    </w:p>
    <w:p w14:paraId="0D8421E7" w14:textId="4DBE8251" w:rsidR="00B071AE" w:rsidRPr="00B15374" w:rsidRDefault="0027088E" w:rsidP="003D4E53">
      <w:pPr>
        <w:pStyle w:val="ListParagraph"/>
        <w:numPr>
          <w:ilvl w:val="0"/>
          <w:numId w:val="6"/>
        </w:numPr>
        <w:tabs>
          <w:tab w:val="left" w:pos="7245"/>
        </w:tabs>
        <w:rPr>
          <w:rFonts w:cs="Arial"/>
          <w:szCs w:val="24"/>
        </w:rPr>
      </w:pPr>
      <w:r w:rsidRPr="00B15374">
        <w:rPr>
          <w:rFonts w:cs="Arial"/>
          <w:szCs w:val="24"/>
        </w:rPr>
        <w:t xml:space="preserve">Evidence has shown </w:t>
      </w:r>
      <w:r w:rsidR="00E26579" w:rsidRPr="00B15374">
        <w:rPr>
          <w:rFonts w:cs="Arial"/>
          <w:szCs w:val="24"/>
        </w:rPr>
        <w:t xml:space="preserve">that year </w:t>
      </w:r>
      <w:r w:rsidR="006B24E1" w:rsidRPr="00B15374">
        <w:rPr>
          <w:rFonts w:cs="Arial"/>
          <w:szCs w:val="24"/>
        </w:rPr>
        <w:t>11 and 13</w:t>
      </w:r>
      <w:r w:rsidR="00EB1933" w:rsidRPr="00B15374">
        <w:rPr>
          <w:rFonts w:cs="Arial"/>
          <w:szCs w:val="24"/>
        </w:rPr>
        <w:t xml:space="preserve"> groups miss</w:t>
      </w:r>
      <w:r w:rsidR="0071270A" w:rsidRPr="00B15374">
        <w:rPr>
          <w:rFonts w:cs="Arial"/>
          <w:szCs w:val="24"/>
        </w:rPr>
        <w:t xml:space="preserve">ing </w:t>
      </w:r>
      <w:r w:rsidR="00EB1933" w:rsidRPr="00B15374">
        <w:rPr>
          <w:rFonts w:cs="Arial"/>
          <w:szCs w:val="24"/>
        </w:rPr>
        <w:t xml:space="preserve">3 months’ worth of education </w:t>
      </w:r>
      <w:r w:rsidR="00633C7A" w:rsidRPr="00B15374">
        <w:rPr>
          <w:rFonts w:cs="Arial"/>
          <w:szCs w:val="24"/>
        </w:rPr>
        <w:t xml:space="preserve">has had an impact on GCSE and A level attainment.  </w:t>
      </w:r>
      <w:r w:rsidR="0071270A" w:rsidRPr="00B15374">
        <w:rPr>
          <w:rFonts w:cs="Arial"/>
          <w:szCs w:val="24"/>
        </w:rPr>
        <w:t xml:space="preserve">Potentially this </w:t>
      </w:r>
      <w:r w:rsidR="006B24E1" w:rsidRPr="00B15374">
        <w:rPr>
          <w:rFonts w:cs="Arial"/>
          <w:szCs w:val="24"/>
        </w:rPr>
        <w:t>will not only have an impact next year on their academic achievements but also a knock-on effect to their mental wellbeing</w:t>
      </w:r>
      <w:r w:rsidR="00EC79F0" w:rsidRPr="00B15374">
        <w:rPr>
          <w:rFonts w:cs="Arial"/>
          <w:szCs w:val="24"/>
        </w:rPr>
        <w:t xml:space="preserve">.  </w:t>
      </w:r>
      <w:r w:rsidR="00EC79F0" w:rsidRPr="00B15374">
        <w:rPr>
          <w:rFonts w:cs="Arial"/>
          <w:color w:val="0000FF"/>
          <w:szCs w:val="24"/>
        </w:rPr>
        <w:t xml:space="preserve"> </w:t>
      </w:r>
      <w:r w:rsidR="00B15374" w:rsidRPr="00B15374">
        <w:rPr>
          <w:rFonts w:cs="Arial"/>
          <w:szCs w:val="24"/>
        </w:rPr>
        <w:t xml:space="preserve">Both Barnardos and Prospects Services are </w:t>
      </w:r>
      <w:r w:rsidR="00A45126">
        <w:rPr>
          <w:rFonts w:cs="Arial"/>
          <w:szCs w:val="24"/>
        </w:rPr>
        <w:t>qualified</w:t>
      </w:r>
      <w:r w:rsidR="00873846">
        <w:rPr>
          <w:rFonts w:cs="Arial"/>
          <w:szCs w:val="24"/>
        </w:rPr>
        <w:t xml:space="preserve"> and skilled</w:t>
      </w:r>
      <w:r w:rsidR="00A45126">
        <w:rPr>
          <w:rFonts w:cs="Arial"/>
          <w:szCs w:val="24"/>
        </w:rPr>
        <w:t xml:space="preserve"> to respond to these areas of </w:t>
      </w:r>
      <w:r w:rsidR="00873846">
        <w:rPr>
          <w:rFonts w:cs="Arial"/>
          <w:szCs w:val="24"/>
        </w:rPr>
        <w:t xml:space="preserve">projected </w:t>
      </w:r>
      <w:r w:rsidR="00A45126">
        <w:rPr>
          <w:rFonts w:cs="Arial"/>
          <w:szCs w:val="24"/>
        </w:rPr>
        <w:t>need.</w:t>
      </w:r>
    </w:p>
    <w:p w14:paraId="29731730" w14:textId="77777777" w:rsidR="00523676" w:rsidRPr="00B15374" w:rsidRDefault="00523676" w:rsidP="00523676"/>
    <w:p w14:paraId="1ADC16BE" w14:textId="77777777" w:rsidR="002A02B5" w:rsidRDefault="002A02B5" w:rsidP="001472A8">
      <w:pPr>
        <w:spacing w:before="240"/>
        <w:rPr>
          <w:b/>
          <w:szCs w:val="24"/>
        </w:rPr>
      </w:pPr>
    </w:p>
    <w:p w14:paraId="2D41A847" w14:textId="444EB755" w:rsidR="00307F76" w:rsidRDefault="00307F76" w:rsidP="001472A8">
      <w:pPr>
        <w:spacing w:before="240"/>
        <w:rPr>
          <w:b/>
          <w:szCs w:val="24"/>
        </w:rPr>
      </w:pPr>
      <w:r w:rsidRPr="00F06E4E">
        <w:rPr>
          <w:b/>
          <w:szCs w:val="24"/>
        </w:rPr>
        <w:t xml:space="preserve">Ward Councillors’ comments </w:t>
      </w:r>
    </w:p>
    <w:p w14:paraId="62168C7A" w14:textId="0C1B372D" w:rsidR="00C45245" w:rsidRPr="00E61067" w:rsidRDefault="00724E6A" w:rsidP="00E61067">
      <w:pPr>
        <w:pStyle w:val="ListParagraph"/>
        <w:numPr>
          <w:ilvl w:val="0"/>
          <w:numId w:val="6"/>
        </w:numPr>
        <w:spacing w:before="240"/>
        <w:rPr>
          <w:bCs/>
          <w:szCs w:val="24"/>
        </w:rPr>
      </w:pPr>
      <w:r w:rsidRPr="00E61067">
        <w:rPr>
          <w:bCs/>
          <w:szCs w:val="24"/>
        </w:rPr>
        <w:lastRenderedPageBreak/>
        <w:t>Not applicable</w:t>
      </w:r>
    </w:p>
    <w:p w14:paraId="4AE16A05" w14:textId="77777777" w:rsidR="00955421" w:rsidRPr="00307F76" w:rsidRDefault="00955421" w:rsidP="0054590F">
      <w:pPr>
        <w:rPr>
          <w:b/>
        </w:rPr>
      </w:pPr>
    </w:p>
    <w:p w14:paraId="014C1AD1" w14:textId="77777777" w:rsidR="00F46C49" w:rsidRDefault="00F46C49" w:rsidP="0054590F">
      <w:pPr>
        <w:pStyle w:val="Heading4"/>
        <w:tabs>
          <w:tab w:val="left" w:pos="3600"/>
        </w:tabs>
        <w:rPr>
          <w:szCs w:val="24"/>
        </w:rPr>
      </w:pPr>
    </w:p>
    <w:p w14:paraId="44AD292E" w14:textId="25E49ACB" w:rsidR="00333FAA" w:rsidRPr="00400959" w:rsidRDefault="00333FAA" w:rsidP="0054590F">
      <w:pPr>
        <w:pStyle w:val="Heading4"/>
        <w:tabs>
          <w:tab w:val="left" w:pos="3600"/>
        </w:tabs>
        <w:rPr>
          <w:sz w:val="28"/>
          <w:szCs w:val="28"/>
        </w:rPr>
      </w:pPr>
      <w:r w:rsidRPr="00400959">
        <w:rPr>
          <w:sz w:val="28"/>
          <w:szCs w:val="28"/>
        </w:rPr>
        <w:t>Performance Issues</w:t>
      </w:r>
    </w:p>
    <w:p w14:paraId="3A26851C" w14:textId="1B43DE87" w:rsidR="00714BEE" w:rsidRDefault="00714BEE" w:rsidP="001C7E35">
      <w:pPr>
        <w:tabs>
          <w:tab w:val="left" w:pos="7245"/>
        </w:tabs>
        <w:rPr>
          <w:i/>
          <w:color w:val="0000FF"/>
        </w:rPr>
      </w:pPr>
    </w:p>
    <w:p w14:paraId="1DF06138" w14:textId="434C4E49" w:rsidR="00311E6F" w:rsidRDefault="005C7355" w:rsidP="002A02B5">
      <w:pPr>
        <w:tabs>
          <w:tab w:val="left" w:pos="7245"/>
        </w:tabs>
        <w:ind w:left="360"/>
        <w:rPr>
          <w:iCs/>
          <w:u w:val="single"/>
        </w:rPr>
      </w:pPr>
      <w:bookmarkStart w:id="0" w:name="_Hlk52206851"/>
      <w:r w:rsidRPr="00493773">
        <w:rPr>
          <w:iCs/>
          <w:u w:val="single"/>
        </w:rPr>
        <w:t>Emotional Health and Wellbeing Services</w:t>
      </w:r>
      <w:r w:rsidR="00493773">
        <w:rPr>
          <w:iCs/>
          <w:u w:val="single"/>
        </w:rPr>
        <w:t>:</w:t>
      </w:r>
      <w:r w:rsidR="00493773" w:rsidRPr="00493773">
        <w:rPr>
          <w:iCs/>
          <w:u w:val="single"/>
        </w:rPr>
        <w:t xml:space="preserve"> </w:t>
      </w:r>
      <w:r w:rsidR="00311E6F" w:rsidRPr="00493773">
        <w:rPr>
          <w:iCs/>
          <w:u w:val="single"/>
        </w:rPr>
        <w:t>Barnardos – Harrow Horizons</w:t>
      </w:r>
    </w:p>
    <w:bookmarkEnd w:id="0"/>
    <w:p w14:paraId="61641F88" w14:textId="591A9C84" w:rsidR="00E93465" w:rsidRDefault="00E93465" w:rsidP="001C7E35">
      <w:pPr>
        <w:tabs>
          <w:tab w:val="left" w:pos="7245"/>
        </w:tabs>
        <w:rPr>
          <w:iCs/>
          <w:u w:val="single"/>
        </w:rPr>
      </w:pPr>
    </w:p>
    <w:p w14:paraId="67676142" w14:textId="77777777" w:rsidR="003D735B" w:rsidRPr="00E61067" w:rsidRDefault="00B11E7C" w:rsidP="00E61067">
      <w:pPr>
        <w:pStyle w:val="ListParagraph"/>
        <w:numPr>
          <w:ilvl w:val="0"/>
          <w:numId w:val="6"/>
        </w:numPr>
        <w:tabs>
          <w:tab w:val="left" w:pos="7245"/>
        </w:tabs>
        <w:rPr>
          <w:iCs/>
        </w:rPr>
      </w:pPr>
      <w:r w:rsidRPr="00E61067">
        <w:rPr>
          <w:iCs/>
        </w:rPr>
        <w:t xml:space="preserve">Clinicians are continuing to work with a full caseload of clients. The current waiting time from referral to assessment is approximately 2-3 weeks. The waiting time for assessment to first session is approximately 5 weeks. </w:t>
      </w:r>
      <w:r w:rsidR="00C110E1" w:rsidRPr="00E61067">
        <w:rPr>
          <w:iCs/>
        </w:rPr>
        <w:t xml:space="preserve">It is </w:t>
      </w:r>
      <w:r w:rsidRPr="00E61067">
        <w:rPr>
          <w:iCs/>
        </w:rPr>
        <w:t>anticipate</w:t>
      </w:r>
      <w:r w:rsidR="00C110E1" w:rsidRPr="00E61067">
        <w:rPr>
          <w:iCs/>
        </w:rPr>
        <w:t>d</w:t>
      </w:r>
      <w:r w:rsidRPr="00E61067">
        <w:rPr>
          <w:iCs/>
        </w:rPr>
        <w:t xml:space="preserve"> that waiting times may increase in line with the number of referrals. </w:t>
      </w:r>
    </w:p>
    <w:p w14:paraId="4D13196C" w14:textId="70C31B00" w:rsidR="00E93465" w:rsidRDefault="00E93465" w:rsidP="001C7E35">
      <w:pPr>
        <w:tabs>
          <w:tab w:val="left" w:pos="7245"/>
        </w:tabs>
        <w:rPr>
          <w:iCs/>
          <w:u w:val="single"/>
        </w:rPr>
      </w:pPr>
    </w:p>
    <w:p w14:paraId="1FEEB188" w14:textId="24694D04" w:rsidR="00E93465" w:rsidRDefault="0096695F" w:rsidP="008262C8">
      <w:pPr>
        <w:pStyle w:val="ListParagraph"/>
        <w:numPr>
          <w:ilvl w:val="0"/>
          <w:numId w:val="6"/>
        </w:numPr>
        <w:tabs>
          <w:tab w:val="left" w:pos="7245"/>
        </w:tabs>
        <w:rPr>
          <w:iCs/>
        </w:rPr>
      </w:pPr>
      <w:r>
        <w:rPr>
          <w:iCs/>
        </w:rPr>
        <w:t>The main referral source</w:t>
      </w:r>
      <w:r w:rsidR="00DC0CA5">
        <w:rPr>
          <w:iCs/>
        </w:rPr>
        <w:t xml:space="preserve"> for this service</w:t>
      </w:r>
      <w:r>
        <w:rPr>
          <w:iCs/>
        </w:rPr>
        <w:t xml:space="preserve"> are GP</w:t>
      </w:r>
      <w:r w:rsidR="00B774C6">
        <w:rPr>
          <w:iCs/>
        </w:rPr>
        <w:t xml:space="preserve">’s and Harrow schools.  </w:t>
      </w:r>
      <w:r w:rsidR="0055067B">
        <w:rPr>
          <w:iCs/>
        </w:rPr>
        <w:t xml:space="preserve">Due to the reduction </w:t>
      </w:r>
      <w:r w:rsidR="00B30B2B">
        <w:rPr>
          <w:iCs/>
        </w:rPr>
        <w:t xml:space="preserve">of patients presenting to GP surgeries and the closure of schools </w:t>
      </w:r>
      <w:r w:rsidR="00610D7F">
        <w:rPr>
          <w:iCs/>
        </w:rPr>
        <w:t>the Harrow Horizons r</w:t>
      </w:r>
      <w:r w:rsidR="00500DA1" w:rsidRPr="008262C8">
        <w:rPr>
          <w:iCs/>
        </w:rPr>
        <w:t xml:space="preserve">eceived 134 referrals </w:t>
      </w:r>
      <w:r w:rsidR="00A56C17">
        <w:rPr>
          <w:iCs/>
        </w:rPr>
        <w:t xml:space="preserve">in quarter one April - </w:t>
      </w:r>
      <w:r w:rsidR="005B74B8">
        <w:rPr>
          <w:iCs/>
        </w:rPr>
        <w:t>June</w:t>
      </w:r>
      <w:r w:rsidR="00500DA1" w:rsidRPr="008262C8">
        <w:rPr>
          <w:iCs/>
        </w:rPr>
        <w:t>.</w:t>
      </w:r>
      <w:r w:rsidR="001F3F2E" w:rsidRPr="001F3F2E">
        <w:t xml:space="preserve"> </w:t>
      </w:r>
      <w:r w:rsidR="006D4F33">
        <w:t>B</w:t>
      </w:r>
      <w:r w:rsidR="001F3F2E">
        <w:t xml:space="preserve">y </w:t>
      </w:r>
      <w:r w:rsidR="001F3F2E" w:rsidRPr="001F3F2E">
        <w:rPr>
          <w:iCs/>
        </w:rPr>
        <w:t xml:space="preserve">quarter </w:t>
      </w:r>
      <w:r w:rsidR="001F3F2E">
        <w:rPr>
          <w:iCs/>
        </w:rPr>
        <w:t>two</w:t>
      </w:r>
      <w:r w:rsidR="001F3F2E" w:rsidRPr="001F3F2E">
        <w:rPr>
          <w:iCs/>
        </w:rPr>
        <w:t>, the number of referrals</w:t>
      </w:r>
      <w:r w:rsidR="006D4F33">
        <w:rPr>
          <w:iCs/>
        </w:rPr>
        <w:t xml:space="preserve"> </w:t>
      </w:r>
      <w:proofErr w:type="gramStart"/>
      <w:r w:rsidR="006D4F33">
        <w:rPr>
          <w:iCs/>
        </w:rPr>
        <w:t>have</w:t>
      </w:r>
      <w:proofErr w:type="gramEnd"/>
      <w:r w:rsidR="006D4F33">
        <w:rPr>
          <w:iCs/>
        </w:rPr>
        <w:t xml:space="preserve"> been </w:t>
      </w:r>
      <w:r w:rsidR="001F3F2E" w:rsidRPr="001F3F2E">
        <w:rPr>
          <w:iCs/>
        </w:rPr>
        <w:t>increas</w:t>
      </w:r>
      <w:r w:rsidR="006D4F33">
        <w:rPr>
          <w:iCs/>
        </w:rPr>
        <w:t>ing</w:t>
      </w:r>
      <w:r w:rsidR="00F0259D">
        <w:rPr>
          <w:iCs/>
        </w:rPr>
        <w:t xml:space="preserve"> to 1</w:t>
      </w:r>
      <w:r w:rsidR="001F3F2E" w:rsidRPr="001F3F2E">
        <w:rPr>
          <w:iCs/>
        </w:rPr>
        <w:t xml:space="preserve">85 referrals </w:t>
      </w:r>
      <w:r w:rsidR="00F0259D">
        <w:rPr>
          <w:iCs/>
        </w:rPr>
        <w:t>to date.</w:t>
      </w:r>
      <w:r w:rsidR="00500DA1" w:rsidRPr="008262C8">
        <w:rPr>
          <w:iCs/>
        </w:rPr>
        <w:t xml:space="preserve"> </w:t>
      </w:r>
    </w:p>
    <w:p w14:paraId="32C1CB61" w14:textId="77777777" w:rsidR="00F929BE" w:rsidRPr="00F929BE" w:rsidRDefault="00F929BE" w:rsidP="00F929BE">
      <w:pPr>
        <w:pStyle w:val="ListParagraph"/>
        <w:rPr>
          <w:iCs/>
        </w:rPr>
      </w:pPr>
    </w:p>
    <w:p w14:paraId="3AEA59A2" w14:textId="3B1782CF" w:rsidR="00E93465" w:rsidRPr="00721E15" w:rsidRDefault="00F929BE" w:rsidP="00A17133">
      <w:pPr>
        <w:pStyle w:val="ListParagraph"/>
        <w:numPr>
          <w:ilvl w:val="0"/>
          <w:numId w:val="6"/>
        </w:numPr>
        <w:tabs>
          <w:tab w:val="left" w:pos="7245"/>
        </w:tabs>
        <w:rPr>
          <w:iCs/>
          <w:u w:val="single"/>
        </w:rPr>
      </w:pPr>
      <w:r w:rsidRPr="00721E15">
        <w:rPr>
          <w:iCs/>
        </w:rPr>
        <w:t>H</w:t>
      </w:r>
      <w:r w:rsidR="00AC623A" w:rsidRPr="00721E15">
        <w:rPr>
          <w:iCs/>
        </w:rPr>
        <w:t xml:space="preserve">arrow </w:t>
      </w:r>
      <w:r w:rsidRPr="00721E15">
        <w:rPr>
          <w:iCs/>
        </w:rPr>
        <w:t>H</w:t>
      </w:r>
      <w:r w:rsidR="00AC623A" w:rsidRPr="00721E15">
        <w:rPr>
          <w:iCs/>
        </w:rPr>
        <w:t>orizons</w:t>
      </w:r>
      <w:r w:rsidRPr="00721E15">
        <w:rPr>
          <w:iCs/>
        </w:rPr>
        <w:t xml:space="preserve"> continually monitor the emerging themes and key issues children and young people are facing</w:t>
      </w:r>
      <w:r w:rsidR="00721E15" w:rsidRPr="00721E15">
        <w:rPr>
          <w:iCs/>
        </w:rPr>
        <w:t>.  The m</w:t>
      </w:r>
      <w:r w:rsidRPr="00721E15">
        <w:rPr>
          <w:iCs/>
        </w:rPr>
        <w:t xml:space="preserve">ost prevalent is a sense of heightened anxiety around their current situation and future, followed by low mood, family conflict and loss and bereavement. </w:t>
      </w:r>
    </w:p>
    <w:p w14:paraId="1AEBFC26" w14:textId="6A34FB52" w:rsidR="00311E6F" w:rsidRDefault="00311E6F" w:rsidP="001C7E35">
      <w:pPr>
        <w:tabs>
          <w:tab w:val="left" w:pos="7245"/>
        </w:tabs>
        <w:rPr>
          <w:iCs/>
          <w:color w:val="0000FF"/>
        </w:rPr>
      </w:pPr>
    </w:p>
    <w:p w14:paraId="0D9A5780" w14:textId="4FCB85A3" w:rsidR="00311E6F" w:rsidRDefault="00E93465" w:rsidP="002A02B5">
      <w:pPr>
        <w:tabs>
          <w:tab w:val="left" w:pos="7245"/>
        </w:tabs>
        <w:ind w:left="360"/>
        <w:rPr>
          <w:iCs/>
          <w:u w:val="single"/>
        </w:rPr>
      </w:pPr>
      <w:r w:rsidRPr="00E93465">
        <w:rPr>
          <w:iCs/>
          <w:u w:val="single"/>
        </w:rPr>
        <w:t>Careers, Information, Advice, Guidance to Young People – Prospects Services</w:t>
      </w:r>
    </w:p>
    <w:p w14:paraId="4DD29B80" w14:textId="77777777" w:rsidR="0074545D" w:rsidRPr="00E93465" w:rsidRDefault="0074545D" w:rsidP="001C7E35">
      <w:pPr>
        <w:tabs>
          <w:tab w:val="left" w:pos="7245"/>
        </w:tabs>
        <w:rPr>
          <w:iCs/>
          <w:u w:val="single"/>
        </w:rPr>
      </w:pPr>
    </w:p>
    <w:p w14:paraId="720F5A48" w14:textId="3DCB7126" w:rsidR="0074545D" w:rsidRDefault="0074545D" w:rsidP="005E263E">
      <w:pPr>
        <w:pStyle w:val="ListParagraph"/>
        <w:numPr>
          <w:ilvl w:val="0"/>
          <w:numId w:val="6"/>
        </w:numPr>
        <w:spacing w:after="160" w:line="259" w:lineRule="auto"/>
        <w:contextualSpacing/>
      </w:pPr>
      <w:r>
        <w:t>Harrow historically has maintained a low number of</w:t>
      </w:r>
      <w:r w:rsidR="00601299">
        <w:t xml:space="preserve"> young people that are </w:t>
      </w:r>
      <w:r>
        <w:t>NEET in comparison to other London boroughs</w:t>
      </w:r>
      <w:r w:rsidR="00601299">
        <w:t xml:space="preserve">.  The </w:t>
      </w:r>
      <w:r>
        <w:t xml:space="preserve">robust tracking and support offered to young people who are NEET has supported this ongoing low figure to </w:t>
      </w:r>
      <w:r w:rsidR="00684855">
        <w:t>b</w:t>
      </w:r>
      <w:r>
        <w:t>e maintained and is evident in the NEET to EET movement for the 16-18 cohort.</w:t>
      </w:r>
    </w:p>
    <w:p w14:paraId="40C0A4DB" w14:textId="77777777" w:rsidR="007C00D8" w:rsidRDefault="007C00D8" w:rsidP="007C00D8">
      <w:pPr>
        <w:pStyle w:val="ListParagraph"/>
        <w:spacing w:after="160" w:line="259" w:lineRule="auto"/>
        <w:ind w:left="360"/>
        <w:contextualSpacing/>
      </w:pPr>
    </w:p>
    <w:p w14:paraId="3F04FF85" w14:textId="1D410720" w:rsidR="007C00D8" w:rsidRDefault="005567CF" w:rsidP="004D1277">
      <w:pPr>
        <w:pStyle w:val="ListParagraph"/>
        <w:numPr>
          <w:ilvl w:val="0"/>
          <w:numId w:val="6"/>
        </w:numPr>
        <w:spacing w:after="160" w:line="259" w:lineRule="auto"/>
        <w:contextualSpacing/>
      </w:pPr>
      <w:r w:rsidRPr="005567CF">
        <w:t xml:space="preserve">Harrow has remained in quintile 1 for the DfE annual scorecard for the last 4 years that Prospects </w:t>
      </w:r>
      <w:r w:rsidR="004D1277">
        <w:t xml:space="preserve">Services </w:t>
      </w:r>
      <w:r w:rsidRPr="005567CF">
        <w:t>has been delivering in the borough.</w:t>
      </w:r>
      <w:r w:rsidR="00C2784C">
        <w:t xml:space="preserve"> </w:t>
      </w:r>
      <w:r w:rsidRPr="005567CF">
        <w:t>Harrow has maintained continuous low levels of NEET and Not Known and presents much lower levels than the London and National average.</w:t>
      </w:r>
    </w:p>
    <w:p w14:paraId="3FD232D6" w14:textId="77777777" w:rsidR="00102434" w:rsidRDefault="00102434" w:rsidP="00102434">
      <w:pPr>
        <w:pStyle w:val="ListParagraph"/>
      </w:pPr>
    </w:p>
    <w:p w14:paraId="62BB2047" w14:textId="392ED382" w:rsidR="00102434" w:rsidRDefault="003228A5" w:rsidP="004D1277">
      <w:pPr>
        <w:pStyle w:val="ListParagraph"/>
        <w:numPr>
          <w:ilvl w:val="0"/>
          <w:numId w:val="6"/>
        </w:numPr>
        <w:spacing w:after="160" w:line="259" w:lineRule="auto"/>
        <w:contextualSpacing/>
      </w:pPr>
      <w:r>
        <w:t xml:space="preserve">NEET Comparison - </w:t>
      </w:r>
      <w:r w:rsidRPr="003228A5">
        <w:t>2019 Scorecard</w:t>
      </w:r>
    </w:p>
    <w:tbl>
      <w:tblPr>
        <w:tblStyle w:val="TableGrid"/>
        <w:tblpPr w:leftFromText="180" w:rightFromText="180" w:vertAnchor="text" w:horzAnchor="page" w:tblpX="2258" w:tblpY="134"/>
        <w:tblW w:w="0" w:type="auto"/>
        <w:tblLook w:val="04A0" w:firstRow="1" w:lastRow="0" w:firstColumn="1" w:lastColumn="0" w:noHBand="0" w:noVBand="1"/>
      </w:tblPr>
      <w:tblGrid>
        <w:gridCol w:w="2145"/>
        <w:gridCol w:w="1994"/>
        <w:gridCol w:w="2052"/>
        <w:gridCol w:w="2108"/>
      </w:tblGrid>
      <w:tr w:rsidR="00E45D27" w:rsidRPr="0071766E" w14:paraId="7DA31262" w14:textId="77777777" w:rsidTr="00E45D27">
        <w:tc>
          <w:tcPr>
            <w:tcW w:w="2145" w:type="dxa"/>
          </w:tcPr>
          <w:p w14:paraId="739A1CD6" w14:textId="77777777" w:rsidR="00E45D27" w:rsidRPr="0071766E" w:rsidRDefault="00E45D27" w:rsidP="00E45D27"/>
        </w:tc>
        <w:tc>
          <w:tcPr>
            <w:tcW w:w="1994" w:type="dxa"/>
          </w:tcPr>
          <w:p w14:paraId="7A5140A4" w14:textId="77777777" w:rsidR="00E45D27" w:rsidRPr="0071766E" w:rsidRDefault="00E45D27" w:rsidP="00E45D27">
            <w:r w:rsidRPr="0071766E">
              <w:t>Combined NEET/ NK</w:t>
            </w:r>
          </w:p>
        </w:tc>
        <w:tc>
          <w:tcPr>
            <w:tcW w:w="2052" w:type="dxa"/>
          </w:tcPr>
          <w:p w14:paraId="1A29BA02" w14:textId="77777777" w:rsidR="00E45D27" w:rsidRPr="0071766E" w:rsidRDefault="00E45D27" w:rsidP="00E45D27">
            <w:r w:rsidRPr="0071766E">
              <w:t>NEET</w:t>
            </w:r>
          </w:p>
        </w:tc>
        <w:tc>
          <w:tcPr>
            <w:tcW w:w="2108" w:type="dxa"/>
          </w:tcPr>
          <w:p w14:paraId="4DD19DE4" w14:textId="77777777" w:rsidR="00E45D27" w:rsidRPr="0071766E" w:rsidRDefault="00E45D27" w:rsidP="00E45D27">
            <w:r w:rsidRPr="0071766E">
              <w:t>Not Known</w:t>
            </w:r>
          </w:p>
        </w:tc>
      </w:tr>
      <w:tr w:rsidR="00E45D27" w:rsidRPr="0071766E" w14:paraId="63506183" w14:textId="77777777" w:rsidTr="00E45D27">
        <w:tc>
          <w:tcPr>
            <w:tcW w:w="2145" w:type="dxa"/>
          </w:tcPr>
          <w:p w14:paraId="740542A4" w14:textId="77777777" w:rsidR="00E45D27" w:rsidRPr="0071766E" w:rsidRDefault="00E45D27" w:rsidP="00E45D27">
            <w:r w:rsidRPr="0071766E">
              <w:t>Harrow</w:t>
            </w:r>
          </w:p>
        </w:tc>
        <w:tc>
          <w:tcPr>
            <w:tcW w:w="1994" w:type="dxa"/>
          </w:tcPr>
          <w:p w14:paraId="08DA9653" w14:textId="77777777" w:rsidR="00E45D27" w:rsidRPr="0071766E" w:rsidRDefault="00E45D27" w:rsidP="00E45D27">
            <w:r w:rsidRPr="0071766E">
              <w:t>2.1%</w:t>
            </w:r>
          </w:p>
        </w:tc>
        <w:tc>
          <w:tcPr>
            <w:tcW w:w="2052" w:type="dxa"/>
          </w:tcPr>
          <w:p w14:paraId="44C5B4A9" w14:textId="77777777" w:rsidR="00E45D27" w:rsidRPr="0071766E" w:rsidRDefault="00E45D27" w:rsidP="00E45D27">
            <w:r w:rsidRPr="0071766E">
              <w:t>1.2%</w:t>
            </w:r>
          </w:p>
        </w:tc>
        <w:tc>
          <w:tcPr>
            <w:tcW w:w="2108" w:type="dxa"/>
          </w:tcPr>
          <w:p w14:paraId="6FB08E4F" w14:textId="77777777" w:rsidR="00E45D27" w:rsidRPr="0071766E" w:rsidRDefault="00E45D27" w:rsidP="00E45D27">
            <w:r w:rsidRPr="0071766E">
              <w:t>1.0%</w:t>
            </w:r>
          </w:p>
        </w:tc>
      </w:tr>
      <w:tr w:rsidR="00E45D27" w:rsidRPr="0071766E" w14:paraId="14B86853" w14:textId="77777777" w:rsidTr="00E45D27">
        <w:tc>
          <w:tcPr>
            <w:tcW w:w="2145" w:type="dxa"/>
          </w:tcPr>
          <w:p w14:paraId="1DB9BF53" w14:textId="77777777" w:rsidR="00E45D27" w:rsidRPr="0071766E" w:rsidRDefault="00E45D27" w:rsidP="00E45D27">
            <w:r w:rsidRPr="0071766E">
              <w:t>London Average</w:t>
            </w:r>
          </w:p>
        </w:tc>
        <w:tc>
          <w:tcPr>
            <w:tcW w:w="1994" w:type="dxa"/>
          </w:tcPr>
          <w:p w14:paraId="79ED99BB" w14:textId="77777777" w:rsidR="00E45D27" w:rsidRPr="0071766E" w:rsidRDefault="00E45D27" w:rsidP="00E45D27">
            <w:r w:rsidRPr="0071766E">
              <w:t>5.5%</w:t>
            </w:r>
          </w:p>
        </w:tc>
        <w:tc>
          <w:tcPr>
            <w:tcW w:w="2052" w:type="dxa"/>
          </w:tcPr>
          <w:p w14:paraId="2B2F9F2F" w14:textId="77777777" w:rsidR="00E45D27" w:rsidRPr="0071766E" w:rsidRDefault="00E45D27" w:rsidP="00E45D27">
            <w:r>
              <w:t>2.6%</w:t>
            </w:r>
          </w:p>
        </w:tc>
        <w:tc>
          <w:tcPr>
            <w:tcW w:w="2108" w:type="dxa"/>
          </w:tcPr>
          <w:p w14:paraId="5CFA987A" w14:textId="77777777" w:rsidR="00E45D27" w:rsidRPr="0071766E" w:rsidRDefault="00E45D27" w:rsidP="00E45D27">
            <w:r>
              <w:t>2.9</w:t>
            </w:r>
            <w:r w:rsidRPr="0071766E">
              <w:t>%</w:t>
            </w:r>
          </w:p>
        </w:tc>
      </w:tr>
      <w:tr w:rsidR="00E45D27" w:rsidRPr="0071766E" w14:paraId="14542A78" w14:textId="77777777" w:rsidTr="00E45D27">
        <w:tc>
          <w:tcPr>
            <w:tcW w:w="2145" w:type="dxa"/>
          </w:tcPr>
          <w:p w14:paraId="0186F021" w14:textId="77777777" w:rsidR="00E45D27" w:rsidRPr="0071766E" w:rsidRDefault="00E45D27" w:rsidP="00E45D27">
            <w:r w:rsidRPr="0071766E">
              <w:t>National Average</w:t>
            </w:r>
          </w:p>
        </w:tc>
        <w:tc>
          <w:tcPr>
            <w:tcW w:w="1994" w:type="dxa"/>
          </w:tcPr>
          <w:p w14:paraId="30B6C967" w14:textId="77777777" w:rsidR="00E45D27" w:rsidRPr="0071766E" w:rsidRDefault="00E45D27" w:rsidP="00E45D27">
            <w:r w:rsidRPr="0071766E">
              <w:t>4.8%</w:t>
            </w:r>
          </w:p>
        </w:tc>
        <w:tc>
          <w:tcPr>
            <w:tcW w:w="2052" w:type="dxa"/>
          </w:tcPr>
          <w:p w14:paraId="6F593CB9" w14:textId="77777777" w:rsidR="00E45D27" w:rsidRPr="0071766E" w:rsidRDefault="00E45D27" w:rsidP="00E45D27">
            <w:r>
              <w:t>1.7%</w:t>
            </w:r>
          </w:p>
        </w:tc>
        <w:tc>
          <w:tcPr>
            <w:tcW w:w="2108" w:type="dxa"/>
          </w:tcPr>
          <w:p w14:paraId="4D7B7569" w14:textId="77777777" w:rsidR="00E45D27" w:rsidRPr="0071766E" w:rsidRDefault="00E45D27" w:rsidP="00E45D27">
            <w:r>
              <w:t>3.0%</w:t>
            </w:r>
          </w:p>
        </w:tc>
      </w:tr>
    </w:tbl>
    <w:p w14:paraId="27DFBF60" w14:textId="77777777" w:rsidR="00E45D27" w:rsidRDefault="00E45D27" w:rsidP="00E45D27">
      <w:pPr>
        <w:pStyle w:val="ListParagraph"/>
      </w:pPr>
    </w:p>
    <w:p w14:paraId="54750222" w14:textId="6DC75DE2" w:rsidR="00E45D27" w:rsidRDefault="00AB3E13" w:rsidP="004D1277">
      <w:pPr>
        <w:pStyle w:val="ListParagraph"/>
        <w:numPr>
          <w:ilvl w:val="0"/>
          <w:numId w:val="6"/>
        </w:numPr>
        <w:spacing w:after="160" w:line="259" w:lineRule="auto"/>
        <w:contextualSpacing/>
      </w:pPr>
      <w:r w:rsidRPr="00AB3E13">
        <w:t>The low level off NEET has been maintained alongside there being a low percentage of young people whose destination is not known. The 1.0% of not known means there are very low numbers of potential hidden NEET.</w:t>
      </w:r>
    </w:p>
    <w:p w14:paraId="14698D02" w14:textId="77777777" w:rsidR="00F6711F" w:rsidRDefault="00F6711F" w:rsidP="00F6711F">
      <w:pPr>
        <w:pStyle w:val="ListParagraph"/>
        <w:spacing w:after="160" w:line="259" w:lineRule="auto"/>
        <w:ind w:left="360"/>
        <w:contextualSpacing/>
      </w:pPr>
    </w:p>
    <w:p w14:paraId="119567ED" w14:textId="2B45CCFC" w:rsidR="0004062B" w:rsidRDefault="00F6711F" w:rsidP="00F6711F">
      <w:pPr>
        <w:pStyle w:val="ListParagraph"/>
        <w:numPr>
          <w:ilvl w:val="0"/>
          <w:numId w:val="6"/>
        </w:numPr>
        <w:spacing w:after="160" w:line="259" w:lineRule="auto"/>
        <w:contextualSpacing/>
      </w:pPr>
      <w:r w:rsidRPr="00F6711F">
        <w:lastRenderedPageBreak/>
        <w:t>In the period between April 2020 and August 2020 there has been a 0.3% (16) rise in NEET 16-17-year olds (academic age). This rise during these months has been mainly due to the 6 monthly employment destination tracking which has identified young people who were in employment 6 month previously now NEET</w:t>
      </w:r>
      <w:r w:rsidR="00A855D8">
        <w:t xml:space="preserve">, </w:t>
      </w:r>
      <w:r w:rsidRPr="00F6711F">
        <w:t>some of the</w:t>
      </w:r>
      <w:r w:rsidR="00530714">
        <w:t>se</w:t>
      </w:r>
      <w:r w:rsidRPr="00F6711F">
        <w:t xml:space="preserve"> 16 would have been as a direct result of the </w:t>
      </w:r>
      <w:proofErr w:type="spellStart"/>
      <w:r w:rsidR="00530714">
        <w:t>c</w:t>
      </w:r>
      <w:r w:rsidRPr="00F6711F">
        <w:t>ovid</w:t>
      </w:r>
      <w:proofErr w:type="spellEnd"/>
      <w:r w:rsidRPr="00F6711F">
        <w:t xml:space="preserve"> pandemic.</w:t>
      </w:r>
    </w:p>
    <w:p w14:paraId="33E2ABE6" w14:textId="77777777" w:rsidR="00192AAA" w:rsidRDefault="00192AAA" w:rsidP="00192AAA">
      <w:pPr>
        <w:pStyle w:val="ListParagraph"/>
      </w:pPr>
    </w:p>
    <w:p w14:paraId="2FEE6EC1" w14:textId="1BC56C9D" w:rsidR="00192AAA" w:rsidRDefault="00192AAA" w:rsidP="00192AAA">
      <w:pPr>
        <w:pStyle w:val="ListParagraph"/>
        <w:numPr>
          <w:ilvl w:val="0"/>
          <w:numId w:val="6"/>
        </w:numPr>
        <w:spacing w:after="160" w:line="259" w:lineRule="auto"/>
        <w:contextualSpacing/>
      </w:pPr>
      <w:r>
        <w:t xml:space="preserve">The </w:t>
      </w:r>
      <w:proofErr w:type="spellStart"/>
      <w:r>
        <w:t>covid</w:t>
      </w:r>
      <w:proofErr w:type="spellEnd"/>
      <w:r>
        <w:t xml:space="preserve"> pandemic could present itself more prominently in statistical data in the months and years to follow. Harrow has a higher than national average participation rate at 95.6% (National- 84.8% and London 91.1%). During the April- August period the majority of Year 12-13 cohort will have been participating in full time learning, we expect this would have continued during the lockdown period when students would have been learning at home, with low drop out rates or exclusions from school/ college.</w:t>
      </w:r>
    </w:p>
    <w:p w14:paraId="7F381C7E" w14:textId="77777777" w:rsidR="00201D22" w:rsidRDefault="00201D22" w:rsidP="00201D22">
      <w:pPr>
        <w:pStyle w:val="ListParagraph"/>
      </w:pPr>
    </w:p>
    <w:p w14:paraId="2FD5B08C" w14:textId="691BB475" w:rsidR="00192AAA" w:rsidRDefault="00192AAA" w:rsidP="00192AAA">
      <w:pPr>
        <w:pStyle w:val="ListParagraph"/>
        <w:numPr>
          <w:ilvl w:val="0"/>
          <w:numId w:val="6"/>
        </w:numPr>
        <w:spacing w:after="160" w:line="259" w:lineRule="auto"/>
        <w:contextualSpacing/>
      </w:pPr>
      <w:r>
        <w:t>The increase in NEET will be more evident in the next part of the year and into early next year with leavers from Years 11, 12 and 13 who do not want to stay in education find looking for employment or apprenticeships more challenging. There is also the implication that many learning providers, such as some training providers are now offering more online virtual approach to learning. This method of learning could see a disengagement for some vulnerable young people and see them dropping out becoming NEET.</w:t>
      </w:r>
    </w:p>
    <w:p w14:paraId="76D0C4A2" w14:textId="3004F2B9" w:rsidR="00A81E19" w:rsidRPr="001472A8" w:rsidRDefault="00A81E19" w:rsidP="00A1211C">
      <w:pPr>
        <w:pStyle w:val="Heading3"/>
        <w:spacing w:before="480" w:after="240"/>
      </w:pPr>
      <w:r w:rsidRPr="001472A8">
        <w:t>Risk Management Implications</w:t>
      </w:r>
    </w:p>
    <w:p w14:paraId="6B304D74" w14:textId="4B79D5E5" w:rsidR="00A81E19" w:rsidRPr="004B1A5A" w:rsidRDefault="00A81E19" w:rsidP="00A81E19">
      <w:pPr>
        <w:tabs>
          <w:tab w:val="left" w:pos="5610"/>
        </w:tabs>
        <w:ind w:right="81"/>
        <w:rPr>
          <w:rFonts w:cs="Arial"/>
          <w:szCs w:val="24"/>
          <w:lang w:val="en-US"/>
        </w:rPr>
      </w:pPr>
      <w:r w:rsidRPr="004B1A5A">
        <w:rPr>
          <w:rFonts w:cs="Arial"/>
          <w:szCs w:val="24"/>
          <w:lang w:val="en-US"/>
        </w:rPr>
        <w:t xml:space="preserve">Risk included on Directorate risk register?  </w:t>
      </w:r>
      <w:r w:rsidR="004B1A5A" w:rsidRPr="004B1A5A">
        <w:rPr>
          <w:rFonts w:cs="Arial"/>
          <w:szCs w:val="24"/>
          <w:lang w:val="en-US"/>
        </w:rPr>
        <w:t>No</w:t>
      </w:r>
    </w:p>
    <w:p w14:paraId="37185367" w14:textId="1ECEBA4D" w:rsidR="00A81E19" w:rsidRPr="004B1A5A" w:rsidRDefault="00A81E19" w:rsidP="00A81E19">
      <w:pPr>
        <w:ind w:right="141"/>
        <w:rPr>
          <w:rFonts w:cs="Arial"/>
          <w:szCs w:val="24"/>
          <w:lang w:val="en-US" w:eastAsia="en-GB"/>
        </w:rPr>
      </w:pPr>
      <w:r w:rsidRPr="004B1A5A">
        <w:rPr>
          <w:rFonts w:cs="Arial"/>
          <w:szCs w:val="24"/>
          <w:lang w:val="en-US" w:eastAsia="en-GB"/>
        </w:rPr>
        <w:t>Separate risk register in place?  No</w:t>
      </w:r>
    </w:p>
    <w:p w14:paraId="3B445E6D" w14:textId="7BCDD6CA" w:rsidR="00A81E19" w:rsidRDefault="00A81E19" w:rsidP="00A81E19"/>
    <w:p w14:paraId="22B5F3C7" w14:textId="5630CD00" w:rsidR="004B1A5A" w:rsidRDefault="004B1A5A" w:rsidP="00154677">
      <w:pPr>
        <w:pStyle w:val="ListParagraph"/>
        <w:numPr>
          <w:ilvl w:val="0"/>
          <w:numId w:val="6"/>
        </w:numPr>
      </w:pPr>
      <w:r>
        <w:t>The key risks and mitigations are summarised in the table below:</w:t>
      </w:r>
    </w:p>
    <w:p w14:paraId="4852CD40" w14:textId="6FF9BF16" w:rsidR="004B1A5A" w:rsidRDefault="004B1A5A" w:rsidP="00A81E19"/>
    <w:tbl>
      <w:tblPr>
        <w:tblStyle w:val="TableGrid"/>
        <w:tblW w:w="0" w:type="auto"/>
        <w:tblLook w:val="04A0" w:firstRow="1" w:lastRow="0" w:firstColumn="1" w:lastColumn="0" w:noHBand="0" w:noVBand="1"/>
      </w:tblPr>
      <w:tblGrid>
        <w:gridCol w:w="4149"/>
        <w:gridCol w:w="4150"/>
      </w:tblGrid>
      <w:tr w:rsidR="004B1A5A" w:rsidRPr="004B1A5A" w14:paraId="5E8FBCC0" w14:textId="77777777" w:rsidTr="004B1A5A">
        <w:tc>
          <w:tcPr>
            <w:tcW w:w="4149" w:type="dxa"/>
          </w:tcPr>
          <w:p w14:paraId="52302B69" w14:textId="77777777" w:rsidR="004B1A5A" w:rsidRDefault="004B1A5A" w:rsidP="004B1A5A">
            <w:pPr>
              <w:jc w:val="center"/>
              <w:rPr>
                <w:b/>
                <w:bCs/>
              </w:rPr>
            </w:pPr>
            <w:r w:rsidRPr="004B1A5A">
              <w:rPr>
                <w:b/>
                <w:bCs/>
              </w:rPr>
              <w:t>Risk</w:t>
            </w:r>
          </w:p>
          <w:p w14:paraId="764CF35A" w14:textId="687456BB" w:rsidR="005113EC" w:rsidRPr="004B1A5A" w:rsidRDefault="005113EC" w:rsidP="004B1A5A">
            <w:pPr>
              <w:jc w:val="center"/>
              <w:rPr>
                <w:b/>
                <w:bCs/>
              </w:rPr>
            </w:pPr>
          </w:p>
        </w:tc>
        <w:tc>
          <w:tcPr>
            <w:tcW w:w="4150" w:type="dxa"/>
          </w:tcPr>
          <w:p w14:paraId="0120B36B" w14:textId="57974C7E" w:rsidR="004B1A5A" w:rsidRPr="004B1A5A" w:rsidRDefault="004B1A5A" w:rsidP="004B1A5A">
            <w:pPr>
              <w:jc w:val="center"/>
              <w:rPr>
                <w:b/>
                <w:bCs/>
              </w:rPr>
            </w:pPr>
            <w:r w:rsidRPr="004B1A5A">
              <w:rPr>
                <w:b/>
                <w:bCs/>
              </w:rPr>
              <w:t>Mitigation</w:t>
            </w:r>
          </w:p>
        </w:tc>
      </w:tr>
      <w:tr w:rsidR="004B1A5A" w14:paraId="0D70CEB6" w14:textId="77777777" w:rsidTr="004B1A5A">
        <w:tc>
          <w:tcPr>
            <w:tcW w:w="4149" w:type="dxa"/>
          </w:tcPr>
          <w:p w14:paraId="4B490A63" w14:textId="71DDDC8C" w:rsidR="004B1A5A" w:rsidRDefault="004B1A5A" w:rsidP="004B1A5A">
            <w:r>
              <w:t>Non availability of statutory services</w:t>
            </w:r>
          </w:p>
        </w:tc>
        <w:tc>
          <w:tcPr>
            <w:tcW w:w="4150" w:type="dxa"/>
          </w:tcPr>
          <w:p w14:paraId="4C2047D7" w14:textId="3B29714A" w:rsidR="004B1A5A" w:rsidRDefault="004B1A5A" w:rsidP="00A81E19">
            <w:r>
              <w:t>Direct Awards to current providers</w:t>
            </w:r>
          </w:p>
        </w:tc>
      </w:tr>
      <w:tr w:rsidR="004B1A5A" w14:paraId="0C8C444E" w14:textId="77777777" w:rsidTr="004B1A5A">
        <w:tc>
          <w:tcPr>
            <w:tcW w:w="4149" w:type="dxa"/>
          </w:tcPr>
          <w:p w14:paraId="790F14F9" w14:textId="5726D7E3" w:rsidR="004B1A5A" w:rsidRDefault="004B1A5A" w:rsidP="004B1A5A">
            <w:r>
              <w:t>Challenge from other providers</w:t>
            </w:r>
          </w:p>
        </w:tc>
        <w:tc>
          <w:tcPr>
            <w:tcW w:w="4150" w:type="dxa"/>
          </w:tcPr>
          <w:p w14:paraId="4D36E917" w14:textId="77777777" w:rsidR="004B1A5A" w:rsidRDefault="00474914" w:rsidP="00A81E19">
            <w:r>
              <w:t xml:space="preserve">Competitive procurement process has been </w:t>
            </w:r>
            <w:r w:rsidR="00BD2C09">
              <w:t xml:space="preserve">undertaken previously </w:t>
            </w:r>
          </w:p>
          <w:p w14:paraId="52A484EC" w14:textId="1C3A51CF" w:rsidR="008E0A4E" w:rsidRDefault="008E0A4E" w:rsidP="00A81E19">
            <w:r>
              <w:t>The council can compliantly direct award under the light touch regime as the values are below the threshold</w:t>
            </w:r>
          </w:p>
        </w:tc>
      </w:tr>
      <w:tr w:rsidR="004B1A5A" w14:paraId="44CBEE23" w14:textId="77777777" w:rsidTr="004B1A5A">
        <w:tc>
          <w:tcPr>
            <w:tcW w:w="4149" w:type="dxa"/>
          </w:tcPr>
          <w:p w14:paraId="05AAB156" w14:textId="19490DBE" w:rsidR="004B1A5A" w:rsidRDefault="008849BA" w:rsidP="004B1A5A">
            <w:r>
              <w:t xml:space="preserve">Current service providers not able to fulfil </w:t>
            </w:r>
            <w:r w:rsidR="00CC3CC2">
              <w:t xml:space="preserve">additional </w:t>
            </w:r>
            <w:r w:rsidR="00450E3E">
              <w:t xml:space="preserve">government funded initiatives </w:t>
            </w:r>
            <w:r w:rsidR="005E1BAA">
              <w:t>for the borough</w:t>
            </w:r>
          </w:p>
        </w:tc>
        <w:tc>
          <w:tcPr>
            <w:tcW w:w="4150" w:type="dxa"/>
          </w:tcPr>
          <w:p w14:paraId="0061D8EF" w14:textId="40C75D81" w:rsidR="004B1A5A" w:rsidRDefault="008849BA" w:rsidP="00A81E19">
            <w:r>
              <w:t xml:space="preserve">Direct Awards to </w:t>
            </w:r>
            <w:r w:rsidR="0044287E">
              <w:t>current providers so they can continue delivery</w:t>
            </w:r>
          </w:p>
        </w:tc>
      </w:tr>
    </w:tbl>
    <w:p w14:paraId="4CD8AE98" w14:textId="6116F21B" w:rsidR="004B1A5A" w:rsidRDefault="004B1A5A" w:rsidP="00A81E19"/>
    <w:p w14:paraId="2DDAB106" w14:textId="752C7C10" w:rsidR="002A3FEF" w:rsidRDefault="002A3FEF" w:rsidP="00A1211C">
      <w:pPr>
        <w:pStyle w:val="Heading3"/>
        <w:spacing w:before="480" w:after="240"/>
      </w:pPr>
      <w:r>
        <w:t xml:space="preserve">Procurement Implications </w:t>
      </w:r>
    </w:p>
    <w:p w14:paraId="46A078E8" w14:textId="3443A367" w:rsidR="008E0A4E" w:rsidRPr="008E0A4E" w:rsidRDefault="008E0A4E" w:rsidP="00B71223">
      <w:pPr>
        <w:pStyle w:val="ListParagraph"/>
        <w:numPr>
          <w:ilvl w:val="0"/>
          <w:numId w:val="6"/>
        </w:numPr>
      </w:pPr>
      <w:r>
        <w:lastRenderedPageBreak/>
        <w:t>It is in the opinion of the Head of Procurement that it is in the best interest of the Council to offer a direct award to Prospects</w:t>
      </w:r>
      <w:r w:rsidR="00C8209A">
        <w:t xml:space="preserve"> and </w:t>
      </w:r>
      <w:r w:rsidR="00814641" w:rsidRPr="007251A3">
        <w:rPr>
          <w:szCs w:val="24"/>
        </w:rPr>
        <w:t>approve the financial contribution to be made by the Council to Harrow Clinical Commissioning Group, for the Harrow’s Emotional Wellbeing Service</w:t>
      </w:r>
      <w:r>
        <w:t>.  The direct award can be made compliantly under the “Light Touch Regime” Public Contract Regulations 2015 as the value of the contracts are below the threshold.</w:t>
      </w:r>
    </w:p>
    <w:p w14:paraId="6B108E35" w14:textId="77777777" w:rsidR="008E0A4E" w:rsidRPr="008E0A4E" w:rsidRDefault="008E0A4E" w:rsidP="00CA343F"/>
    <w:p w14:paraId="30D407F3" w14:textId="6E4C4F04" w:rsidR="00EE6BC1" w:rsidRPr="00B71223" w:rsidRDefault="00E426F7" w:rsidP="00B71223">
      <w:pPr>
        <w:pStyle w:val="ListParagraph"/>
        <w:numPr>
          <w:ilvl w:val="0"/>
          <w:numId w:val="6"/>
        </w:numPr>
      </w:pPr>
      <w:r>
        <w:t xml:space="preserve">Approve funding </w:t>
      </w:r>
      <w:r w:rsidR="003B51E7">
        <w:t xml:space="preserve">to Harrow CCG </w:t>
      </w:r>
      <w:r>
        <w:t>via s</w:t>
      </w:r>
      <w:r w:rsidR="003B51E7">
        <w:t xml:space="preserve">75 for the </w:t>
      </w:r>
      <w:r w:rsidR="008E0A4E" w:rsidRPr="00B71223">
        <w:t xml:space="preserve">Barnardos - </w:t>
      </w:r>
      <w:r w:rsidR="0016746C" w:rsidRPr="00B71223">
        <w:t>Emotional Health and Wellbeing Services: Harrow Horizons</w:t>
      </w:r>
      <w:r w:rsidR="008E0A4E" w:rsidRPr="00B71223">
        <w:t xml:space="preserve"> for 2 years from the 1</w:t>
      </w:r>
      <w:r w:rsidR="008E0A4E" w:rsidRPr="00B71223">
        <w:rPr>
          <w:vertAlign w:val="superscript"/>
        </w:rPr>
        <w:t>st</w:t>
      </w:r>
      <w:r w:rsidR="008E0A4E" w:rsidRPr="00B71223">
        <w:t xml:space="preserve"> April 2021 until 31</w:t>
      </w:r>
      <w:r w:rsidR="008E0A4E" w:rsidRPr="00B71223">
        <w:rPr>
          <w:vertAlign w:val="superscript"/>
        </w:rPr>
        <w:t>st</w:t>
      </w:r>
      <w:r w:rsidR="008E0A4E" w:rsidRPr="00B71223">
        <w:t xml:space="preserve"> March 2023</w:t>
      </w:r>
    </w:p>
    <w:p w14:paraId="2884EAE2" w14:textId="5C5DA149" w:rsidR="00077FD4" w:rsidRDefault="008E0A4E" w:rsidP="004603B4">
      <w:pPr>
        <w:ind w:left="360"/>
        <w:rPr>
          <w:u w:val="single"/>
        </w:rPr>
      </w:pPr>
      <w:r w:rsidRPr="00B71223">
        <w:t xml:space="preserve">Direct Award to </w:t>
      </w:r>
      <w:r w:rsidR="00EE6BC1" w:rsidRPr="00B71223">
        <w:t>Prospects</w:t>
      </w:r>
      <w:r w:rsidR="00357B9E" w:rsidRPr="00B71223">
        <w:t xml:space="preserve"> Services</w:t>
      </w:r>
      <w:r w:rsidR="00B71223">
        <w:t>:</w:t>
      </w:r>
      <w:r w:rsidR="00486EAA" w:rsidRPr="00B71223">
        <w:t xml:space="preserve"> Careers Information, Advice and Guidance</w:t>
      </w:r>
      <w:r w:rsidRPr="00B71223">
        <w:t xml:space="preserve"> for 1</w:t>
      </w:r>
      <w:r w:rsidR="0026706A" w:rsidRPr="00B71223">
        <w:t>8</w:t>
      </w:r>
      <w:r w:rsidRPr="00B71223">
        <w:t xml:space="preserve"> months from the 1</w:t>
      </w:r>
      <w:r w:rsidRPr="00B71223">
        <w:rPr>
          <w:vertAlign w:val="superscript"/>
        </w:rPr>
        <w:t>st</w:t>
      </w:r>
      <w:r w:rsidRPr="00B71223">
        <w:t xml:space="preserve"> April 2021 until </w:t>
      </w:r>
      <w:r w:rsidR="00241327" w:rsidRPr="00B71223">
        <w:t>30</w:t>
      </w:r>
      <w:r w:rsidR="00241327" w:rsidRPr="00B71223">
        <w:rPr>
          <w:vertAlign w:val="superscript"/>
        </w:rPr>
        <w:t>th</w:t>
      </w:r>
      <w:r w:rsidR="00241327" w:rsidRPr="00B71223">
        <w:t xml:space="preserve"> September 2022</w:t>
      </w:r>
    </w:p>
    <w:p w14:paraId="36B4EF33" w14:textId="77777777" w:rsidR="00077FD4" w:rsidRPr="00EE6BC1" w:rsidRDefault="00077FD4" w:rsidP="00EE6BC1">
      <w:pPr>
        <w:rPr>
          <w:u w:val="single"/>
        </w:rPr>
      </w:pPr>
    </w:p>
    <w:p w14:paraId="7A8085DF" w14:textId="4A371169" w:rsidR="00333FAA" w:rsidRDefault="00333FAA" w:rsidP="00A1211C">
      <w:pPr>
        <w:pStyle w:val="Heading3"/>
        <w:spacing w:before="480" w:after="240"/>
      </w:pPr>
      <w:r>
        <w:t>Legal Implications</w:t>
      </w:r>
    </w:p>
    <w:p w14:paraId="7AB31CF6" w14:textId="77777777" w:rsidR="00777998" w:rsidRPr="00777998" w:rsidRDefault="00777998" w:rsidP="00777998"/>
    <w:p w14:paraId="5D7847A0" w14:textId="367F595D" w:rsidR="00B87B98" w:rsidRPr="007603A0" w:rsidRDefault="00D2132C" w:rsidP="002107AC">
      <w:pPr>
        <w:ind w:left="360"/>
        <w:rPr>
          <w:u w:val="single"/>
        </w:rPr>
      </w:pPr>
      <w:r w:rsidRPr="00D2132C">
        <w:rPr>
          <w:u w:val="single"/>
        </w:rPr>
        <w:t xml:space="preserve">Emotional Health and Wellbeing Services: Barnardos </w:t>
      </w:r>
    </w:p>
    <w:p w14:paraId="1AD2D7F8" w14:textId="25B40DDA" w:rsidR="00B87B98" w:rsidRDefault="00B87B98" w:rsidP="00B87B98"/>
    <w:p w14:paraId="2FF5B873" w14:textId="426A3AD0" w:rsidR="002C0F3A" w:rsidRDefault="00556F42" w:rsidP="00D71D9B">
      <w:pPr>
        <w:pStyle w:val="ListParagraph"/>
        <w:numPr>
          <w:ilvl w:val="0"/>
          <w:numId w:val="6"/>
        </w:numPr>
      </w:pPr>
      <w:r>
        <w:t>The Council and the CCG entered into a</w:t>
      </w:r>
      <w:r w:rsidR="007603A0">
        <w:t xml:space="preserve"> Section 75 Agreement </w:t>
      </w:r>
      <w:r>
        <w:t xml:space="preserve">under the National Health Service Act 2006; this agreement enables the Council and the CCG to </w:t>
      </w:r>
      <w:r w:rsidR="002C0F3A">
        <w:t>enter into partnership arrangement to provide services and pool resources. This agreement</w:t>
      </w:r>
      <w:r>
        <w:t xml:space="preserve"> remains valid</w:t>
      </w:r>
      <w:r w:rsidR="007603A0">
        <w:t xml:space="preserve"> until 2022</w:t>
      </w:r>
      <w:r>
        <w:t xml:space="preserve"> </w:t>
      </w:r>
      <w:r w:rsidR="007603A0">
        <w:t xml:space="preserve"> therefore the commissioning intentions as set out in this report</w:t>
      </w:r>
      <w:r w:rsidR="002C0F3A">
        <w:t xml:space="preserve"> for the emotional health and wellbeing services</w:t>
      </w:r>
      <w:r w:rsidR="007603A0">
        <w:t xml:space="preserve"> can be fulfilled through the Section 75 Agreement. </w:t>
      </w:r>
      <w:r w:rsidR="002C0F3A">
        <w:t xml:space="preserve">The CCG as lead commissioners and the contracting authority must adhere to the obligations under Public Contracts Regulations (2015) in their appointment and extension of the Contract with </w:t>
      </w:r>
      <w:proofErr w:type="spellStart"/>
      <w:r w:rsidR="002C0F3A">
        <w:t>Barnados</w:t>
      </w:r>
      <w:proofErr w:type="spellEnd"/>
      <w:r w:rsidR="002C0F3A">
        <w:t>.</w:t>
      </w:r>
    </w:p>
    <w:p w14:paraId="28C3A5CC" w14:textId="77777777" w:rsidR="002C0F3A" w:rsidRDefault="002C0F3A" w:rsidP="002C0F3A">
      <w:pPr>
        <w:pStyle w:val="ListParagraph"/>
        <w:ind w:left="360"/>
      </w:pPr>
    </w:p>
    <w:p w14:paraId="4382F46F" w14:textId="67FCCACD" w:rsidR="007603A0" w:rsidRDefault="007603A0" w:rsidP="00D71D9B">
      <w:pPr>
        <w:pStyle w:val="ListParagraph"/>
        <w:numPr>
          <w:ilvl w:val="0"/>
          <w:numId w:val="6"/>
        </w:numPr>
      </w:pPr>
      <w:r>
        <w:t xml:space="preserve">The Scheme Specification for the Future in Mind Children and Young People's Emotional, Health and Well-Being Service, which sits under the Section 75 Agreement will need to be updated to reflect the additional </w:t>
      </w:r>
      <w:proofErr w:type="spellStart"/>
      <w:r w:rsidR="004E37E2">
        <w:t>years service</w:t>
      </w:r>
      <w:proofErr w:type="spellEnd"/>
      <w:r>
        <w:t xml:space="preserve"> as well the revised Key Performance Indicators to be agreed by the Council and the CCG.</w:t>
      </w:r>
    </w:p>
    <w:p w14:paraId="0DE2200A" w14:textId="77777777" w:rsidR="00B87B98" w:rsidRPr="00B87B98" w:rsidRDefault="00B87B98" w:rsidP="00B87B98"/>
    <w:p w14:paraId="0F0B5E5B" w14:textId="422F83E1" w:rsidR="00DC56A8" w:rsidRDefault="00DC56A8" w:rsidP="00DC56A8"/>
    <w:p w14:paraId="1F6A927F" w14:textId="5F04403E" w:rsidR="006961A7" w:rsidRDefault="006961A7" w:rsidP="002107AC">
      <w:pPr>
        <w:ind w:left="360"/>
        <w:rPr>
          <w:rFonts w:cs="Arial"/>
          <w:szCs w:val="24"/>
          <w:u w:val="single"/>
        </w:rPr>
      </w:pPr>
      <w:r w:rsidRPr="006961A7">
        <w:rPr>
          <w:rFonts w:cs="Arial"/>
          <w:szCs w:val="24"/>
          <w:u w:val="single"/>
        </w:rPr>
        <w:t>Prospects Services</w:t>
      </w:r>
      <w:r w:rsidR="00A55D2D">
        <w:rPr>
          <w:rFonts w:cs="Arial"/>
          <w:szCs w:val="24"/>
          <w:u w:val="single"/>
        </w:rPr>
        <w:t xml:space="preserve"> – Careers, Information and Guidance </w:t>
      </w:r>
    </w:p>
    <w:p w14:paraId="41217DC3" w14:textId="77777777" w:rsidR="00121EA3" w:rsidRPr="006961A7" w:rsidRDefault="00121EA3" w:rsidP="00E7088F">
      <w:pPr>
        <w:rPr>
          <w:rFonts w:cs="Arial"/>
          <w:szCs w:val="24"/>
          <w:u w:val="single"/>
        </w:rPr>
      </w:pPr>
    </w:p>
    <w:p w14:paraId="33E318C5" w14:textId="677DF159" w:rsidR="00DC56A8" w:rsidRDefault="00D74FA6" w:rsidP="004603B4">
      <w:pPr>
        <w:pStyle w:val="ListParagraph"/>
        <w:numPr>
          <w:ilvl w:val="0"/>
          <w:numId w:val="6"/>
        </w:numPr>
      </w:pPr>
      <w:r w:rsidRPr="0094301D">
        <w:rPr>
          <w:rFonts w:cs="Arial"/>
          <w:szCs w:val="24"/>
        </w:rPr>
        <w:t xml:space="preserve">Legal notes that the value of the direct award contract to be made to Prospects Services fall below the EU threshold for </w:t>
      </w:r>
      <w:r w:rsidR="00C44559" w:rsidRPr="0094301D">
        <w:rPr>
          <w:rFonts w:cs="Arial"/>
          <w:szCs w:val="24"/>
        </w:rPr>
        <w:t xml:space="preserve">the </w:t>
      </w:r>
      <w:r w:rsidRPr="0094301D">
        <w:rPr>
          <w:rFonts w:cs="Arial"/>
          <w:szCs w:val="24"/>
        </w:rPr>
        <w:t xml:space="preserve">light touch </w:t>
      </w:r>
      <w:r w:rsidR="00C44559" w:rsidRPr="0094301D">
        <w:rPr>
          <w:rFonts w:cs="Arial"/>
          <w:szCs w:val="24"/>
        </w:rPr>
        <w:t>regime</w:t>
      </w:r>
      <w:r w:rsidRPr="0094301D">
        <w:rPr>
          <w:rFonts w:cs="Arial"/>
          <w:szCs w:val="24"/>
        </w:rPr>
        <w:t xml:space="preserve"> therefore the procurement is not subject to the full requirements of the </w:t>
      </w:r>
      <w:r w:rsidRPr="004603B4">
        <w:rPr>
          <w:rFonts w:cs="Arial"/>
          <w:szCs w:val="24"/>
        </w:rPr>
        <w:t>Public Contract Regulations 2015 (PCR); the</w:t>
      </w:r>
      <w:r w:rsidRPr="0094301D">
        <w:rPr>
          <w:rFonts w:cs="Arial"/>
          <w:szCs w:val="24"/>
        </w:rPr>
        <w:t xml:space="preserve"> EU </w:t>
      </w:r>
      <w:r w:rsidR="004300ED" w:rsidRPr="0094301D">
        <w:rPr>
          <w:rFonts w:cs="Arial"/>
          <w:szCs w:val="24"/>
        </w:rPr>
        <w:t xml:space="preserve">Treaty principles </w:t>
      </w:r>
      <w:r w:rsidRPr="0094301D">
        <w:rPr>
          <w:rFonts w:cs="Arial"/>
          <w:szCs w:val="24"/>
        </w:rPr>
        <w:t>of equal treatment, fairness and non-discrimination</w:t>
      </w:r>
      <w:r w:rsidR="004300ED" w:rsidRPr="0094301D">
        <w:rPr>
          <w:rFonts w:cs="Arial"/>
          <w:szCs w:val="24"/>
        </w:rPr>
        <w:t xml:space="preserve">, </w:t>
      </w:r>
      <w:r w:rsidRPr="0094301D">
        <w:rPr>
          <w:rFonts w:cs="Arial"/>
          <w:szCs w:val="24"/>
        </w:rPr>
        <w:t>however must still be adhered to.</w:t>
      </w:r>
    </w:p>
    <w:p w14:paraId="358E9660" w14:textId="3A2BBD90" w:rsidR="003A1634" w:rsidRDefault="003A1634" w:rsidP="003A1634"/>
    <w:p w14:paraId="3B140B3D" w14:textId="0AFFF968" w:rsidR="003A1634" w:rsidRDefault="003A1634" w:rsidP="003A1634"/>
    <w:p w14:paraId="4D631259" w14:textId="10231FB4" w:rsidR="00333FAA" w:rsidRDefault="00333FAA" w:rsidP="00A1211C">
      <w:pPr>
        <w:pStyle w:val="Heading3"/>
        <w:spacing w:before="480" w:after="240"/>
      </w:pPr>
      <w:r>
        <w:t>Financial Implications</w:t>
      </w:r>
    </w:p>
    <w:p w14:paraId="273B9BC4" w14:textId="70A46CAB" w:rsidR="00280F78" w:rsidRDefault="00D2132C" w:rsidP="00222910">
      <w:pPr>
        <w:ind w:left="360"/>
        <w:rPr>
          <w:b/>
          <w:bCs/>
          <w:u w:val="single"/>
        </w:rPr>
      </w:pPr>
      <w:r w:rsidRPr="00D2132C">
        <w:rPr>
          <w:u w:val="single"/>
        </w:rPr>
        <w:t>Emotional Health and Wellbeing Services: Barnardos – Harrow Horizons</w:t>
      </w:r>
      <w:r>
        <w:rPr>
          <w:u w:val="single"/>
        </w:rPr>
        <w:t xml:space="preserve"> </w:t>
      </w:r>
    </w:p>
    <w:p w14:paraId="3E6D3B5A" w14:textId="77777777" w:rsidR="00A55D2D" w:rsidRPr="00A55D2D" w:rsidRDefault="00A55D2D" w:rsidP="0054590F">
      <w:pPr>
        <w:rPr>
          <w:b/>
          <w:bCs/>
          <w:u w:val="single"/>
        </w:rPr>
      </w:pPr>
    </w:p>
    <w:p w14:paraId="101CA0C8" w14:textId="20D93FDC" w:rsidR="00875B7A" w:rsidRDefault="00031098" w:rsidP="001F6EF2">
      <w:pPr>
        <w:pStyle w:val="ListParagraph"/>
        <w:numPr>
          <w:ilvl w:val="0"/>
          <w:numId w:val="6"/>
        </w:numPr>
        <w:autoSpaceDE w:val="0"/>
        <w:autoSpaceDN w:val="0"/>
        <w:adjustRightInd w:val="0"/>
      </w:pPr>
      <w:r>
        <w:t>The</w:t>
      </w:r>
      <w:r w:rsidRPr="00423CC5">
        <w:t xml:space="preserve"> annual contract value </w:t>
      </w:r>
      <w:r>
        <w:t>is</w:t>
      </w:r>
      <w:r w:rsidRPr="00423CC5">
        <w:t xml:space="preserve"> £</w:t>
      </w:r>
      <w:r>
        <w:t xml:space="preserve">540,000 </w:t>
      </w:r>
      <w:r w:rsidRPr="00423CC5">
        <w:t>made up of £</w:t>
      </w:r>
      <w:r>
        <w:t>270,000</w:t>
      </w:r>
      <w:r w:rsidRPr="00423CC5">
        <w:t xml:space="preserve"> contribution from the CCG and </w:t>
      </w:r>
      <w:r>
        <w:t xml:space="preserve">£270,000 </w:t>
      </w:r>
      <w:r w:rsidRPr="00423CC5">
        <w:t>Local Authority</w:t>
      </w:r>
      <w:r>
        <w:t xml:space="preserve"> contribution.</w:t>
      </w:r>
      <w:r w:rsidR="00097F1B">
        <w:t xml:space="preserve">  </w:t>
      </w:r>
    </w:p>
    <w:p w14:paraId="779D070E" w14:textId="77777777" w:rsidR="00875B7A" w:rsidRDefault="00875B7A" w:rsidP="00031098">
      <w:pPr>
        <w:autoSpaceDE w:val="0"/>
        <w:autoSpaceDN w:val="0"/>
        <w:adjustRightInd w:val="0"/>
      </w:pPr>
    </w:p>
    <w:p w14:paraId="038DFEA1" w14:textId="7C5693AF" w:rsidR="00031098" w:rsidRDefault="00097F1B" w:rsidP="001F6EF2">
      <w:pPr>
        <w:pStyle w:val="ListParagraph"/>
        <w:numPr>
          <w:ilvl w:val="0"/>
          <w:numId w:val="6"/>
        </w:numPr>
        <w:autoSpaceDE w:val="0"/>
        <w:autoSpaceDN w:val="0"/>
        <w:adjustRightInd w:val="0"/>
      </w:pPr>
      <w:r>
        <w:t>The total contribution from the Local Authority over</w:t>
      </w:r>
      <w:r w:rsidR="00875B7A">
        <w:t xml:space="preserve"> the</w:t>
      </w:r>
      <w:r>
        <w:t xml:space="preserve"> two years would</w:t>
      </w:r>
      <w:r w:rsidR="00875B7A">
        <w:t xml:space="preserve"> be £540,000</w:t>
      </w:r>
      <w:r w:rsidR="004D2FB7">
        <w:t>.</w:t>
      </w:r>
      <w:r w:rsidR="00973D43">
        <w:t xml:space="preserve">  The service is funded from </w:t>
      </w:r>
      <w:r w:rsidR="00AE453E">
        <w:t xml:space="preserve">children and young </w:t>
      </w:r>
      <w:r w:rsidR="000D53AA">
        <w:t>people’s directorate</w:t>
      </w:r>
    </w:p>
    <w:p w14:paraId="0576BD9B" w14:textId="77777777" w:rsidR="003C7C0E" w:rsidRDefault="003C7C0E" w:rsidP="00031098">
      <w:pPr>
        <w:autoSpaceDE w:val="0"/>
        <w:autoSpaceDN w:val="0"/>
        <w:adjustRightInd w:val="0"/>
        <w:rPr>
          <w:b/>
          <w:bCs/>
        </w:rPr>
      </w:pPr>
    </w:p>
    <w:p w14:paraId="74E7781D" w14:textId="436F9749" w:rsidR="00436FEF" w:rsidRPr="00A55D2D" w:rsidRDefault="00436FEF" w:rsidP="00222910">
      <w:pPr>
        <w:autoSpaceDE w:val="0"/>
        <w:autoSpaceDN w:val="0"/>
        <w:adjustRightInd w:val="0"/>
        <w:ind w:left="360"/>
        <w:rPr>
          <w:u w:val="single"/>
        </w:rPr>
      </w:pPr>
      <w:r w:rsidRPr="00A55D2D">
        <w:rPr>
          <w:u w:val="single"/>
        </w:rPr>
        <w:t>Prospects</w:t>
      </w:r>
      <w:r w:rsidR="00A55D2D">
        <w:rPr>
          <w:u w:val="single"/>
        </w:rPr>
        <w:t xml:space="preserve"> </w:t>
      </w:r>
      <w:r w:rsidR="00E05EAB">
        <w:rPr>
          <w:u w:val="single"/>
        </w:rPr>
        <w:t xml:space="preserve">Services </w:t>
      </w:r>
      <w:r w:rsidR="00A55D2D">
        <w:rPr>
          <w:u w:val="single"/>
        </w:rPr>
        <w:t>-</w:t>
      </w:r>
      <w:r w:rsidR="00996674" w:rsidRPr="00A55D2D">
        <w:rPr>
          <w:u w:val="single"/>
        </w:rPr>
        <w:t xml:space="preserve"> Careers Information and Advice and Guidance</w:t>
      </w:r>
    </w:p>
    <w:p w14:paraId="1DED34E5" w14:textId="77777777" w:rsidR="00436FEF" w:rsidRDefault="00436FEF" w:rsidP="00031098">
      <w:pPr>
        <w:autoSpaceDE w:val="0"/>
        <w:autoSpaceDN w:val="0"/>
        <w:adjustRightInd w:val="0"/>
      </w:pPr>
    </w:p>
    <w:p w14:paraId="3F6FF505" w14:textId="63C5244D" w:rsidR="00436FEF" w:rsidRDefault="00436FEF" w:rsidP="001F6EF2">
      <w:pPr>
        <w:pStyle w:val="ListParagraph"/>
        <w:numPr>
          <w:ilvl w:val="0"/>
          <w:numId w:val="6"/>
        </w:numPr>
        <w:autoSpaceDE w:val="0"/>
        <w:autoSpaceDN w:val="0"/>
        <w:adjustRightInd w:val="0"/>
      </w:pPr>
      <w:r>
        <w:t>The annual contract value is £400,000</w:t>
      </w:r>
      <w:r w:rsidR="00BE7885">
        <w:t xml:space="preserve">, for </w:t>
      </w:r>
      <w:r w:rsidR="003165AB">
        <w:t xml:space="preserve">the </w:t>
      </w:r>
      <w:r w:rsidR="00D74FA6">
        <w:t>eighteen months</w:t>
      </w:r>
      <w:r w:rsidR="003165AB">
        <w:t xml:space="preserve"> contract, the total budget </w:t>
      </w:r>
      <w:r w:rsidR="00671385">
        <w:t>requirement is £</w:t>
      </w:r>
      <w:r w:rsidR="00CA343F">
        <w:t>6</w:t>
      </w:r>
      <w:r w:rsidR="00671385">
        <w:t>00,000.</w:t>
      </w:r>
      <w:r w:rsidR="00BE7885">
        <w:t xml:space="preserve"> </w:t>
      </w:r>
      <w:r>
        <w:t xml:space="preserve"> </w:t>
      </w:r>
      <w:r w:rsidR="00B25FF5">
        <w:t>The service is funded from a general fund</w:t>
      </w:r>
      <w:r w:rsidR="00F026E6">
        <w:t xml:space="preserve"> within children</w:t>
      </w:r>
      <w:r w:rsidR="00CD7B01">
        <w:t xml:space="preserve"> and young </w:t>
      </w:r>
      <w:r w:rsidR="000D53AA">
        <w:t>people’s</w:t>
      </w:r>
      <w:r w:rsidR="00CD7B01">
        <w:t xml:space="preserve"> directorate.</w:t>
      </w:r>
    </w:p>
    <w:p w14:paraId="4CAE57B0" w14:textId="5766EAA8" w:rsidR="00A93D7B" w:rsidRDefault="00A93D7B" w:rsidP="00031098">
      <w:pPr>
        <w:autoSpaceDE w:val="0"/>
        <w:autoSpaceDN w:val="0"/>
        <w:adjustRightInd w:val="0"/>
      </w:pPr>
    </w:p>
    <w:p w14:paraId="4DFE21B7" w14:textId="77777777" w:rsidR="00333FAA" w:rsidRPr="00303FD6" w:rsidRDefault="00333FAA" w:rsidP="00A1211C">
      <w:pPr>
        <w:pStyle w:val="Heading3"/>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7D137985" w14:textId="779CEDE9" w:rsidR="004B1A5A" w:rsidRDefault="004B1A5A" w:rsidP="006C6534">
      <w:pPr>
        <w:pStyle w:val="ListParagraph"/>
        <w:numPr>
          <w:ilvl w:val="0"/>
          <w:numId w:val="6"/>
        </w:numPr>
        <w:rPr>
          <w:iCs/>
        </w:rPr>
      </w:pPr>
      <w:r w:rsidRPr="006C6534">
        <w:rPr>
          <w:iCs/>
        </w:rPr>
        <w:t xml:space="preserve">Equalities Impact Assessment were undertaken as part </w:t>
      </w:r>
      <w:r w:rsidR="006C6534" w:rsidRPr="006C6534">
        <w:rPr>
          <w:iCs/>
        </w:rPr>
        <w:t>of</w:t>
      </w:r>
      <w:r w:rsidRPr="006C6534">
        <w:rPr>
          <w:iCs/>
        </w:rPr>
        <w:t xml:space="preserve"> the initial procurement processes. The key matters identified were:</w:t>
      </w:r>
    </w:p>
    <w:p w14:paraId="5A5FEA12" w14:textId="5294C636" w:rsidR="00630172" w:rsidRDefault="00630172" w:rsidP="00630172">
      <w:pPr>
        <w:rPr>
          <w:iCs/>
        </w:rPr>
      </w:pPr>
    </w:p>
    <w:p w14:paraId="3084D7F7" w14:textId="6BE46BCA" w:rsidR="00630172" w:rsidRPr="00630172" w:rsidRDefault="00D2132C" w:rsidP="00D463A5">
      <w:pPr>
        <w:ind w:left="360"/>
        <w:rPr>
          <w:iCs/>
          <w:u w:val="single"/>
        </w:rPr>
      </w:pPr>
      <w:r w:rsidRPr="00D2132C">
        <w:rPr>
          <w:iCs/>
          <w:u w:val="single"/>
        </w:rPr>
        <w:t>Emotional Health and Wellbeing Services: Barnardos – Harrow Horizons</w:t>
      </w:r>
    </w:p>
    <w:p w14:paraId="034DF5C8" w14:textId="77777777" w:rsidR="004B1A5A" w:rsidRPr="004B1A5A" w:rsidRDefault="004B1A5A" w:rsidP="000929A6">
      <w:pPr>
        <w:rPr>
          <w:iCs/>
        </w:rPr>
      </w:pPr>
    </w:p>
    <w:p w14:paraId="590CA120" w14:textId="651F1F71" w:rsidR="004B1A5A" w:rsidRPr="00C0190E" w:rsidRDefault="002E16C8" w:rsidP="00C0190E">
      <w:pPr>
        <w:pStyle w:val="ListParagraph"/>
        <w:numPr>
          <w:ilvl w:val="0"/>
          <w:numId w:val="6"/>
        </w:numPr>
        <w:rPr>
          <w:iCs/>
        </w:rPr>
      </w:pPr>
      <w:r w:rsidRPr="00C0190E">
        <w:rPr>
          <w:iCs/>
        </w:rPr>
        <w:t xml:space="preserve">The conclusions of this assessment </w:t>
      </w:r>
      <w:r w:rsidR="00253DBC">
        <w:rPr>
          <w:iCs/>
        </w:rPr>
        <w:t xml:space="preserve">undertaken </w:t>
      </w:r>
      <w:r w:rsidR="003C57BF">
        <w:rPr>
          <w:iCs/>
        </w:rPr>
        <w:t xml:space="preserve">October 2016 was </w:t>
      </w:r>
      <w:r w:rsidRPr="00C0190E">
        <w:rPr>
          <w:iCs/>
        </w:rPr>
        <w:t xml:space="preserve">that the implications are either positive or neutral, with no adverse effect, in that the service will provide emotional, mental health interventions to those vulnerable children and young people in Harrow.  </w:t>
      </w:r>
    </w:p>
    <w:p w14:paraId="659ABC11" w14:textId="439A2D9D" w:rsidR="00556825" w:rsidRDefault="00556825" w:rsidP="000929A6">
      <w:pPr>
        <w:rPr>
          <w:iCs/>
        </w:rPr>
      </w:pPr>
    </w:p>
    <w:p w14:paraId="0CD4A7D2" w14:textId="6EC3DEEC" w:rsidR="00556825" w:rsidRDefault="00556825" w:rsidP="003C57BF">
      <w:pPr>
        <w:pStyle w:val="ListParagraph"/>
        <w:numPr>
          <w:ilvl w:val="0"/>
          <w:numId w:val="6"/>
        </w:numPr>
        <w:rPr>
          <w:iCs/>
        </w:rPr>
      </w:pPr>
      <w:r w:rsidRPr="003C57BF">
        <w:rPr>
          <w:iCs/>
        </w:rPr>
        <w:t xml:space="preserve">The assessment </w:t>
      </w:r>
      <w:r w:rsidR="003C57BF">
        <w:rPr>
          <w:iCs/>
        </w:rPr>
        <w:t xml:space="preserve">did </w:t>
      </w:r>
      <w:r w:rsidRPr="003C57BF">
        <w:rPr>
          <w:iCs/>
        </w:rPr>
        <w:t>not identif</w:t>
      </w:r>
      <w:r w:rsidR="003C57BF">
        <w:rPr>
          <w:iCs/>
        </w:rPr>
        <w:t>y</w:t>
      </w:r>
      <w:r w:rsidRPr="003C57BF">
        <w:rPr>
          <w:iCs/>
        </w:rPr>
        <w:t xml:space="preserve"> any potential for unlawful conduct or disproportionate impact and conclude that all opportunities to advance equality are being addressed.</w:t>
      </w:r>
    </w:p>
    <w:p w14:paraId="5A744BA5" w14:textId="77777777" w:rsidR="00E8435C" w:rsidRPr="00E8435C" w:rsidRDefault="00E8435C" w:rsidP="00E8435C">
      <w:pPr>
        <w:pStyle w:val="ListParagraph"/>
        <w:rPr>
          <w:iCs/>
        </w:rPr>
      </w:pPr>
    </w:p>
    <w:p w14:paraId="6B4BEA9C" w14:textId="57200EC4" w:rsidR="00E8435C" w:rsidRDefault="00292782" w:rsidP="003C57BF">
      <w:pPr>
        <w:pStyle w:val="ListParagraph"/>
        <w:numPr>
          <w:ilvl w:val="0"/>
          <w:numId w:val="6"/>
        </w:numPr>
        <w:rPr>
          <w:iCs/>
        </w:rPr>
      </w:pPr>
      <w:r w:rsidRPr="00292782">
        <w:rPr>
          <w:iCs/>
        </w:rPr>
        <w:t xml:space="preserve">During the monitoring of the contracts, data on the ethnic profile </w:t>
      </w:r>
      <w:r w:rsidR="00C21D43">
        <w:rPr>
          <w:iCs/>
        </w:rPr>
        <w:t xml:space="preserve">from </w:t>
      </w:r>
      <w:r w:rsidRPr="00292782">
        <w:rPr>
          <w:iCs/>
        </w:rPr>
        <w:t>of the service users</w:t>
      </w:r>
      <w:r w:rsidR="00410FA6">
        <w:rPr>
          <w:iCs/>
        </w:rPr>
        <w:t xml:space="preserve"> since the commencement of the service</w:t>
      </w:r>
      <w:r w:rsidRPr="00292782">
        <w:rPr>
          <w:iCs/>
        </w:rPr>
        <w:t xml:space="preserve"> has been gathered</w:t>
      </w:r>
      <w:r>
        <w:rPr>
          <w:iCs/>
        </w:rPr>
        <w:t xml:space="preserve"> as below</w:t>
      </w:r>
      <w:r w:rsidR="00410FA6">
        <w:rPr>
          <w:iCs/>
        </w:rPr>
        <w:t>:</w:t>
      </w:r>
    </w:p>
    <w:p w14:paraId="41EEEF95" w14:textId="77777777" w:rsidR="00410FA6" w:rsidRPr="00410FA6" w:rsidRDefault="00410FA6" w:rsidP="00410FA6">
      <w:pPr>
        <w:pStyle w:val="ListParagraph"/>
        <w:rPr>
          <w:iCs/>
        </w:rPr>
      </w:pPr>
    </w:p>
    <w:tbl>
      <w:tblPr>
        <w:tblStyle w:val="TableGrid"/>
        <w:tblW w:w="0" w:type="auto"/>
        <w:tblInd w:w="607" w:type="dxa"/>
        <w:tblLook w:val="04A0" w:firstRow="1" w:lastRow="0" w:firstColumn="1" w:lastColumn="0" w:noHBand="0" w:noVBand="1"/>
      </w:tblPr>
      <w:tblGrid>
        <w:gridCol w:w="3936"/>
        <w:gridCol w:w="1842"/>
        <w:gridCol w:w="1446"/>
      </w:tblGrid>
      <w:tr w:rsidR="00BE5CC0" w14:paraId="0FF2A4B5" w14:textId="77777777" w:rsidTr="00E64ADC">
        <w:trPr>
          <w:trHeight w:val="270"/>
        </w:trPr>
        <w:tc>
          <w:tcPr>
            <w:tcW w:w="3936" w:type="dxa"/>
            <w:hideMark/>
          </w:tcPr>
          <w:p w14:paraId="7F2D808A" w14:textId="77777777" w:rsidR="00BE5CC0" w:rsidRPr="00033F80" w:rsidRDefault="00BE5CC0" w:rsidP="00F52A14">
            <w:pPr>
              <w:rPr>
                <w:rFonts w:eastAsiaTheme="minorHAnsi"/>
                <w:sz w:val="22"/>
                <w:szCs w:val="22"/>
              </w:rPr>
            </w:pPr>
            <w:r>
              <w:rPr>
                <w:sz w:val="22"/>
                <w:szCs w:val="22"/>
              </w:rPr>
              <w:t xml:space="preserve">Ethnic </w:t>
            </w:r>
            <w:r w:rsidRPr="00033F80">
              <w:rPr>
                <w:sz w:val="22"/>
                <w:szCs w:val="22"/>
              </w:rPr>
              <w:t>group</w:t>
            </w:r>
          </w:p>
        </w:tc>
        <w:tc>
          <w:tcPr>
            <w:tcW w:w="1842" w:type="dxa"/>
            <w:noWrap/>
            <w:hideMark/>
          </w:tcPr>
          <w:p w14:paraId="0FA92E0A" w14:textId="77777777" w:rsidR="00BE5CC0" w:rsidRPr="00033F80" w:rsidRDefault="00BE5CC0" w:rsidP="00F52A14">
            <w:pPr>
              <w:rPr>
                <w:rFonts w:eastAsiaTheme="minorHAnsi"/>
                <w:sz w:val="22"/>
                <w:szCs w:val="22"/>
              </w:rPr>
            </w:pPr>
            <w:r w:rsidRPr="00033F80">
              <w:rPr>
                <w:sz w:val="22"/>
                <w:szCs w:val="22"/>
              </w:rPr>
              <w:t>No of referrals</w:t>
            </w:r>
          </w:p>
        </w:tc>
        <w:tc>
          <w:tcPr>
            <w:tcW w:w="1446" w:type="dxa"/>
            <w:hideMark/>
          </w:tcPr>
          <w:p w14:paraId="6857EB81" w14:textId="77777777" w:rsidR="00BE5CC0" w:rsidRPr="00033F80" w:rsidRDefault="00BE5CC0" w:rsidP="00F52A14">
            <w:pPr>
              <w:rPr>
                <w:rFonts w:eastAsiaTheme="minorHAnsi"/>
                <w:sz w:val="22"/>
                <w:szCs w:val="22"/>
              </w:rPr>
            </w:pPr>
            <w:r w:rsidRPr="00033F80">
              <w:rPr>
                <w:sz w:val="22"/>
                <w:szCs w:val="22"/>
              </w:rPr>
              <w:t>Percentage</w:t>
            </w:r>
          </w:p>
        </w:tc>
      </w:tr>
      <w:tr w:rsidR="00BE5CC0" w:rsidRPr="00033F80" w14:paraId="1FBFB0EF" w14:textId="77777777" w:rsidTr="00E64ADC">
        <w:trPr>
          <w:trHeight w:val="282"/>
        </w:trPr>
        <w:tc>
          <w:tcPr>
            <w:tcW w:w="3936" w:type="dxa"/>
            <w:hideMark/>
          </w:tcPr>
          <w:p w14:paraId="6AA57C5B" w14:textId="77777777" w:rsidR="00BE5CC0" w:rsidRPr="00033F80" w:rsidRDefault="00BE5CC0" w:rsidP="00F52A14">
            <w:pPr>
              <w:rPr>
                <w:sz w:val="22"/>
                <w:szCs w:val="22"/>
              </w:rPr>
            </w:pPr>
            <w:r w:rsidRPr="00033F80">
              <w:rPr>
                <w:sz w:val="22"/>
                <w:szCs w:val="22"/>
              </w:rPr>
              <w:t xml:space="preserve">Asian or Asian British </w:t>
            </w:r>
          </w:p>
        </w:tc>
        <w:tc>
          <w:tcPr>
            <w:tcW w:w="1842" w:type="dxa"/>
            <w:noWrap/>
            <w:hideMark/>
          </w:tcPr>
          <w:p w14:paraId="69A0AFA2" w14:textId="77777777" w:rsidR="00BE5CC0" w:rsidRPr="00033F80" w:rsidRDefault="00BE5CC0" w:rsidP="00F52A14">
            <w:pPr>
              <w:jc w:val="center"/>
              <w:rPr>
                <w:sz w:val="22"/>
                <w:szCs w:val="22"/>
              </w:rPr>
            </w:pPr>
            <w:r w:rsidRPr="00033F80">
              <w:rPr>
                <w:sz w:val="22"/>
                <w:szCs w:val="22"/>
              </w:rPr>
              <w:t>577</w:t>
            </w:r>
          </w:p>
        </w:tc>
        <w:tc>
          <w:tcPr>
            <w:tcW w:w="1446" w:type="dxa"/>
            <w:noWrap/>
            <w:hideMark/>
          </w:tcPr>
          <w:p w14:paraId="547ECE5D" w14:textId="77777777" w:rsidR="00BE5CC0" w:rsidRPr="00033F80" w:rsidRDefault="00BE5CC0" w:rsidP="00F52A14">
            <w:pPr>
              <w:jc w:val="center"/>
              <w:rPr>
                <w:sz w:val="22"/>
                <w:szCs w:val="22"/>
              </w:rPr>
            </w:pPr>
            <w:r w:rsidRPr="00033F80">
              <w:rPr>
                <w:sz w:val="22"/>
                <w:szCs w:val="22"/>
              </w:rPr>
              <w:t>32%</w:t>
            </w:r>
          </w:p>
        </w:tc>
      </w:tr>
      <w:tr w:rsidR="00BE5CC0" w:rsidRPr="00033F80" w14:paraId="642156A2" w14:textId="77777777" w:rsidTr="00E64ADC">
        <w:trPr>
          <w:trHeight w:val="282"/>
        </w:trPr>
        <w:tc>
          <w:tcPr>
            <w:tcW w:w="3936" w:type="dxa"/>
            <w:hideMark/>
          </w:tcPr>
          <w:p w14:paraId="17F390ED" w14:textId="77777777" w:rsidR="00BE5CC0" w:rsidRPr="00033F80" w:rsidRDefault="00BE5CC0" w:rsidP="00F52A14">
            <w:pPr>
              <w:rPr>
                <w:sz w:val="22"/>
                <w:szCs w:val="22"/>
              </w:rPr>
            </w:pPr>
            <w:r w:rsidRPr="00033F80">
              <w:rPr>
                <w:sz w:val="22"/>
                <w:szCs w:val="22"/>
              </w:rPr>
              <w:t xml:space="preserve">White </w:t>
            </w:r>
          </w:p>
        </w:tc>
        <w:tc>
          <w:tcPr>
            <w:tcW w:w="1842" w:type="dxa"/>
            <w:noWrap/>
            <w:hideMark/>
          </w:tcPr>
          <w:p w14:paraId="760B8E3D" w14:textId="77777777" w:rsidR="00BE5CC0" w:rsidRPr="00033F80" w:rsidRDefault="00BE5CC0" w:rsidP="00F52A14">
            <w:pPr>
              <w:jc w:val="center"/>
              <w:rPr>
                <w:sz w:val="22"/>
                <w:szCs w:val="22"/>
              </w:rPr>
            </w:pPr>
            <w:r w:rsidRPr="00033F80">
              <w:rPr>
                <w:sz w:val="22"/>
                <w:szCs w:val="22"/>
              </w:rPr>
              <w:t>491</w:t>
            </w:r>
          </w:p>
        </w:tc>
        <w:tc>
          <w:tcPr>
            <w:tcW w:w="1446" w:type="dxa"/>
            <w:noWrap/>
            <w:hideMark/>
          </w:tcPr>
          <w:p w14:paraId="345CB891" w14:textId="77777777" w:rsidR="00BE5CC0" w:rsidRPr="00033F80" w:rsidRDefault="00BE5CC0" w:rsidP="00F52A14">
            <w:pPr>
              <w:jc w:val="center"/>
              <w:rPr>
                <w:sz w:val="22"/>
                <w:szCs w:val="22"/>
              </w:rPr>
            </w:pPr>
            <w:r w:rsidRPr="00033F80">
              <w:rPr>
                <w:sz w:val="22"/>
                <w:szCs w:val="22"/>
              </w:rPr>
              <w:t>27%</w:t>
            </w:r>
          </w:p>
        </w:tc>
      </w:tr>
      <w:tr w:rsidR="00BE5CC0" w:rsidRPr="00033F80" w14:paraId="75543A96" w14:textId="77777777" w:rsidTr="00E64ADC">
        <w:trPr>
          <w:trHeight w:val="282"/>
        </w:trPr>
        <w:tc>
          <w:tcPr>
            <w:tcW w:w="3936" w:type="dxa"/>
            <w:hideMark/>
          </w:tcPr>
          <w:p w14:paraId="6E057B63" w14:textId="77777777" w:rsidR="00BE5CC0" w:rsidRPr="00033F80" w:rsidRDefault="00BE5CC0" w:rsidP="00F52A14">
            <w:pPr>
              <w:rPr>
                <w:sz w:val="22"/>
                <w:szCs w:val="22"/>
              </w:rPr>
            </w:pPr>
            <w:r w:rsidRPr="00033F80">
              <w:rPr>
                <w:sz w:val="22"/>
                <w:szCs w:val="22"/>
              </w:rPr>
              <w:t xml:space="preserve">Black or Black British </w:t>
            </w:r>
          </w:p>
        </w:tc>
        <w:tc>
          <w:tcPr>
            <w:tcW w:w="1842" w:type="dxa"/>
            <w:noWrap/>
            <w:hideMark/>
          </w:tcPr>
          <w:p w14:paraId="635B6C70" w14:textId="77777777" w:rsidR="00BE5CC0" w:rsidRPr="00033F80" w:rsidRDefault="00BE5CC0" w:rsidP="00F52A14">
            <w:pPr>
              <w:jc w:val="center"/>
              <w:rPr>
                <w:sz w:val="22"/>
                <w:szCs w:val="22"/>
              </w:rPr>
            </w:pPr>
            <w:r w:rsidRPr="00033F80">
              <w:rPr>
                <w:sz w:val="22"/>
                <w:szCs w:val="22"/>
              </w:rPr>
              <w:t>238</w:t>
            </w:r>
          </w:p>
        </w:tc>
        <w:tc>
          <w:tcPr>
            <w:tcW w:w="1446" w:type="dxa"/>
            <w:noWrap/>
            <w:hideMark/>
          </w:tcPr>
          <w:p w14:paraId="455BFF0C" w14:textId="77777777" w:rsidR="00BE5CC0" w:rsidRPr="00033F80" w:rsidRDefault="00BE5CC0" w:rsidP="00F52A14">
            <w:pPr>
              <w:jc w:val="center"/>
              <w:rPr>
                <w:sz w:val="22"/>
                <w:szCs w:val="22"/>
              </w:rPr>
            </w:pPr>
            <w:r w:rsidRPr="00033F80">
              <w:rPr>
                <w:sz w:val="22"/>
                <w:szCs w:val="22"/>
              </w:rPr>
              <w:t>13%</w:t>
            </w:r>
          </w:p>
        </w:tc>
      </w:tr>
      <w:tr w:rsidR="00BE5CC0" w:rsidRPr="00033F80" w14:paraId="3D39F346" w14:textId="77777777" w:rsidTr="00E64ADC">
        <w:trPr>
          <w:trHeight w:val="282"/>
        </w:trPr>
        <w:tc>
          <w:tcPr>
            <w:tcW w:w="3936" w:type="dxa"/>
            <w:hideMark/>
          </w:tcPr>
          <w:p w14:paraId="3B58746B" w14:textId="77777777" w:rsidR="00BE5CC0" w:rsidRPr="00033F80" w:rsidRDefault="00BE5CC0" w:rsidP="00F52A14">
            <w:pPr>
              <w:rPr>
                <w:sz w:val="22"/>
                <w:szCs w:val="22"/>
              </w:rPr>
            </w:pPr>
            <w:r w:rsidRPr="00033F80">
              <w:rPr>
                <w:sz w:val="22"/>
                <w:szCs w:val="22"/>
              </w:rPr>
              <w:t xml:space="preserve">Mixed </w:t>
            </w:r>
          </w:p>
        </w:tc>
        <w:tc>
          <w:tcPr>
            <w:tcW w:w="1842" w:type="dxa"/>
            <w:noWrap/>
            <w:hideMark/>
          </w:tcPr>
          <w:p w14:paraId="4B770450" w14:textId="77777777" w:rsidR="00BE5CC0" w:rsidRPr="00033F80" w:rsidRDefault="00BE5CC0" w:rsidP="00F52A14">
            <w:pPr>
              <w:jc w:val="center"/>
              <w:rPr>
                <w:sz w:val="22"/>
                <w:szCs w:val="22"/>
              </w:rPr>
            </w:pPr>
            <w:r w:rsidRPr="00033F80">
              <w:rPr>
                <w:sz w:val="22"/>
                <w:szCs w:val="22"/>
              </w:rPr>
              <w:t>225</w:t>
            </w:r>
          </w:p>
        </w:tc>
        <w:tc>
          <w:tcPr>
            <w:tcW w:w="1446" w:type="dxa"/>
            <w:noWrap/>
            <w:hideMark/>
          </w:tcPr>
          <w:p w14:paraId="2FED49EE" w14:textId="77777777" w:rsidR="00BE5CC0" w:rsidRPr="00033F80" w:rsidRDefault="00BE5CC0" w:rsidP="00F52A14">
            <w:pPr>
              <w:jc w:val="center"/>
              <w:rPr>
                <w:sz w:val="22"/>
                <w:szCs w:val="22"/>
              </w:rPr>
            </w:pPr>
            <w:r w:rsidRPr="00033F80">
              <w:rPr>
                <w:sz w:val="22"/>
                <w:szCs w:val="22"/>
              </w:rPr>
              <w:t>12%</w:t>
            </w:r>
          </w:p>
        </w:tc>
      </w:tr>
      <w:tr w:rsidR="00BE5CC0" w:rsidRPr="00033F80" w14:paraId="61DF6AF2" w14:textId="77777777" w:rsidTr="00E64ADC">
        <w:trPr>
          <w:trHeight w:val="282"/>
        </w:trPr>
        <w:tc>
          <w:tcPr>
            <w:tcW w:w="3936" w:type="dxa"/>
            <w:hideMark/>
          </w:tcPr>
          <w:p w14:paraId="733686AA" w14:textId="77777777" w:rsidR="00BE5CC0" w:rsidRPr="00033F80" w:rsidRDefault="00BE5CC0" w:rsidP="00F52A14">
            <w:pPr>
              <w:rPr>
                <w:sz w:val="22"/>
                <w:szCs w:val="22"/>
              </w:rPr>
            </w:pPr>
            <w:r w:rsidRPr="00033F80">
              <w:rPr>
                <w:sz w:val="22"/>
                <w:szCs w:val="22"/>
              </w:rPr>
              <w:t xml:space="preserve">Other Ethnic Groups </w:t>
            </w:r>
          </w:p>
        </w:tc>
        <w:tc>
          <w:tcPr>
            <w:tcW w:w="1842" w:type="dxa"/>
            <w:noWrap/>
            <w:hideMark/>
          </w:tcPr>
          <w:p w14:paraId="0DD9177B" w14:textId="77777777" w:rsidR="00BE5CC0" w:rsidRPr="00033F80" w:rsidRDefault="00BE5CC0" w:rsidP="00F52A14">
            <w:pPr>
              <w:jc w:val="center"/>
              <w:rPr>
                <w:sz w:val="22"/>
                <w:szCs w:val="22"/>
              </w:rPr>
            </w:pPr>
            <w:r w:rsidRPr="00033F80">
              <w:rPr>
                <w:sz w:val="22"/>
                <w:szCs w:val="22"/>
              </w:rPr>
              <w:t>185</w:t>
            </w:r>
          </w:p>
        </w:tc>
        <w:tc>
          <w:tcPr>
            <w:tcW w:w="1446" w:type="dxa"/>
            <w:noWrap/>
            <w:hideMark/>
          </w:tcPr>
          <w:p w14:paraId="5C667690" w14:textId="77777777" w:rsidR="00BE5CC0" w:rsidRPr="00033F80" w:rsidRDefault="00BE5CC0" w:rsidP="00F52A14">
            <w:pPr>
              <w:jc w:val="center"/>
              <w:rPr>
                <w:sz w:val="22"/>
                <w:szCs w:val="22"/>
              </w:rPr>
            </w:pPr>
            <w:r w:rsidRPr="00033F80">
              <w:rPr>
                <w:sz w:val="22"/>
                <w:szCs w:val="22"/>
              </w:rPr>
              <w:t>10%</w:t>
            </w:r>
          </w:p>
        </w:tc>
      </w:tr>
      <w:tr w:rsidR="00BE5CC0" w:rsidRPr="00033F80" w14:paraId="43DEF032" w14:textId="77777777" w:rsidTr="00E64ADC">
        <w:trPr>
          <w:trHeight w:val="282"/>
        </w:trPr>
        <w:tc>
          <w:tcPr>
            <w:tcW w:w="3936" w:type="dxa"/>
            <w:hideMark/>
          </w:tcPr>
          <w:p w14:paraId="5316B0B0" w14:textId="77777777" w:rsidR="00BE5CC0" w:rsidRPr="00033F80" w:rsidRDefault="00BE5CC0" w:rsidP="00F52A14">
            <w:pPr>
              <w:rPr>
                <w:sz w:val="22"/>
                <w:szCs w:val="22"/>
              </w:rPr>
            </w:pPr>
            <w:r w:rsidRPr="00033F80">
              <w:rPr>
                <w:sz w:val="22"/>
                <w:szCs w:val="22"/>
              </w:rPr>
              <w:t>Rather not say</w:t>
            </w:r>
          </w:p>
        </w:tc>
        <w:tc>
          <w:tcPr>
            <w:tcW w:w="1842" w:type="dxa"/>
            <w:noWrap/>
            <w:hideMark/>
          </w:tcPr>
          <w:p w14:paraId="2885238F" w14:textId="77777777" w:rsidR="00BE5CC0" w:rsidRPr="00033F80" w:rsidRDefault="00BE5CC0" w:rsidP="00F52A14">
            <w:pPr>
              <w:jc w:val="center"/>
              <w:rPr>
                <w:sz w:val="22"/>
                <w:szCs w:val="22"/>
              </w:rPr>
            </w:pPr>
            <w:r w:rsidRPr="00033F80">
              <w:rPr>
                <w:sz w:val="22"/>
                <w:szCs w:val="22"/>
              </w:rPr>
              <w:t>104</w:t>
            </w:r>
          </w:p>
        </w:tc>
        <w:tc>
          <w:tcPr>
            <w:tcW w:w="1446" w:type="dxa"/>
            <w:noWrap/>
            <w:hideMark/>
          </w:tcPr>
          <w:p w14:paraId="16B1F3B4" w14:textId="77777777" w:rsidR="00BE5CC0" w:rsidRPr="00033F80" w:rsidRDefault="00BE5CC0" w:rsidP="00F52A14">
            <w:pPr>
              <w:jc w:val="center"/>
              <w:rPr>
                <w:sz w:val="22"/>
                <w:szCs w:val="22"/>
              </w:rPr>
            </w:pPr>
            <w:r w:rsidRPr="00033F80">
              <w:rPr>
                <w:sz w:val="22"/>
                <w:szCs w:val="22"/>
              </w:rPr>
              <w:t>6%</w:t>
            </w:r>
          </w:p>
        </w:tc>
      </w:tr>
      <w:tr w:rsidR="00C561B6" w:rsidRPr="00033F80" w14:paraId="165676D1" w14:textId="77777777" w:rsidTr="00B937E0">
        <w:trPr>
          <w:trHeight w:val="282"/>
        </w:trPr>
        <w:tc>
          <w:tcPr>
            <w:tcW w:w="7224" w:type="dxa"/>
            <w:gridSpan w:val="3"/>
          </w:tcPr>
          <w:p w14:paraId="07BDC5B5" w14:textId="6878EE1B" w:rsidR="00C561B6" w:rsidRPr="00033F80" w:rsidRDefault="00C561B6" w:rsidP="00DC031B">
            <w:pPr>
              <w:jc w:val="center"/>
              <w:rPr>
                <w:sz w:val="22"/>
                <w:szCs w:val="22"/>
              </w:rPr>
            </w:pPr>
            <w:r>
              <w:rPr>
                <w:sz w:val="22"/>
                <w:szCs w:val="22"/>
              </w:rPr>
              <w:t>Data</w:t>
            </w:r>
            <w:r w:rsidR="00DC031B">
              <w:rPr>
                <w:sz w:val="22"/>
                <w:szCs w:val="22"/>
              </w:rPr>
              <w:t>:</w:t>
            </w:r>
            <w:r>
              <w:rPr>
                <w:sz w:val="22"/>
                <w:szCs w:val="22"/>
              </w:rPr>
              <w:t xml:space="preserve"> </w:t>
            </w:r>
            <w:r w:rsidR="00DC031B">
              <w:rPr>
                <w:sz w:val="22"/>
                <w:szCs w:val="22"/>
              </w:rPr>
              <w:t>June 2017 – March 2020</w:t>
            </w:r>
          </w:p>
        </w:tc>
      </w:tr>
    </w:tbl>
    <w:p w14:paraId="03E34C33" w14:textId="2B64715E" w:rsidR="00410FA6" w:rsidRDefault="00410FA6" w:rsidP="00E176A0">
      <w:pPr>
        <w:pStyle w:val="ListParagraph"/>
        <w:ind w:left="360"/>
        <w:rPr>
          <w:iCs/>
        </w:rPr>
      </w:pPr>
    </w:p>
    <w:p w14:paraId="475DF59B" w14:textId="557265DD" w:rsidR="00BA0FDC" w:rsidRDefault="00E64ADC" w:rsidP="00BC5672">
      <w:pPr>
        <w:pStyle w:val="ListParagraph"/>
        <w:numPr>
          <w:ilvl w:val="0"/>
          <w:numId w:val="6"/>
        </w:numPr>
        <w:rPr>
          <w:iCs/>
        </w:rPr>
      </w:pPr>
      <w:r>
        <w:rPr>
          <w:iCs/>
        </w:rPr>
        <w:t>S</w:t>
      </w:r>
      <w:r w:rsidR="00F148D0" w:rsidRPr="00F148D0">
        <w:rPr>
          <w:iCs/>
        </w:rPr>
        <w:t>tatistics show that access to H</w:t>
      </w:r>
      <w:r>
        <w:rPr>
          <w:iCs/>
        </w:rPr>
        <w:t xml:space="preserve">arrow </w:t>
      </w:r>
      <w:r w:rsidR="00F148D0" w:rsidRPr="00F148D0">
        <w:rPr>
          <w:iCs/>
        </w:rPr>
        <w:t>H</w:t>
      </w:r>
      <w:r>
        <w:rPr>
          <w:iCs/>
        </w:rPr>
        <w:t>orizon</w:t>
      </w:r>
      <w:r w:rsidR="00F148D0" w:rsidRPr="00F148D0">
        <w:rPr>
          <w:iCs/>
        </w:rPr>
        <w:t xml:space="preserve"> has been reflective of the local community and BAME children and young people with a majority from Asian/ Asian British backgrounds</w:t>
      </w:r>
      <w:r>
        <w:rPr>
          <w:iCs/>
        </w:rPr>
        <w:t>.</w:t>
      </w:r>
    </w:p>
    <w:p w14:paraId="20BABE55" w14:textId="77777777" w:rsidR="0089412C" w:rsidRDefault="0089412C" w:rsidP="0089412C">
      <w:pPr>
        <w:pStyle w:val="ListParagraph"/>
        <w:ind w:left="360"/>
        <w:rPr>
          <w:iCs/>
        </w:rPr>
      </w:pPr>
    </w:p>
    <w:p w14:paraId="2E188945" w14:textId="35C24356" w:rsidR="0089412C" w:rsidRPr="003C57BF" w:rsidRDefault="00BA7196" w:rsidP="00BC5672">
      <w:pPr>
        <w:pStyle w:val="ListParagraph"/>
        <w:numPr>
          <w:ilvl w:val="0"/>
          <w:numId w:val="6"/>
        </w:numPr>
        <w:rPr>
          <w:iCs/>
        </w:rPr>
      </w:pPr>
      <w:r w:rsidRPr="00BA7196">
        <w:rPr>
          <w:iCs/>
        </w:rPr>
        <w:t xml:space="preserve">The service </w:t>
      </w:r>
      <w:r>
        <w:rPr>
          <w:iCs/>
        </w:rPr>
        <w:t xml:space="preserve">has </w:t>
      </w:r>
      <w:r w:rsidR="006224DC">
        <w:rPr>
          <w:iCs/>
        </w:rPr>
        <w:t>continued to m</w:t>
      </w:r>
      <w:r w:rsidRPr="00BA7196">
        <w:rPr>
          <w:iCs/>
        </w:rPr>
        <w:t>eet the current gap for children and young people who have a moderate emotional, mental health need in addition to their learning disability/difficulty</w:t>
      </w:r>
      <w:r w:rsidR="006224DC">
        <w:rPr>
          <w:iCs/>
        </w:rPr>
        <w:t xml:space="preserve">.  </w:t>
      </w:r>
      <w:r w:rsidR="0087227B">
        <w:rPr>
          <w:iCs/>
        </w:rPr>
        <w:t xml:space="preserve">Quarter one data (April – June 2020) </w:t>
      </w:r>
      <w:r w:rsidR="0087227B">
        <w:rPr>
          <w:iCs/>
        </w:rPr>
        <w:lastRenderedPageBreak/>
        <w:t>reported 22 young people with special needs, referred by Harrow Schools, were engaging in the service</w:t>
      </w:r>
      <w:r w:rsidR="007830E0">
        <w:rPr>
          <w:iCs/>
        </w:rPr>
        <w:t>.</w:t>
      </w:r>
    </w:p>
    <w:p w14:paraId="375DA666" w14:textId="1EC5588B" w:rsidR="00556825" w:rsidRDefault="00556825" w:rsidP="000929A6">
      <w:pPr>
        <w:rPr>
          <w:iCs/>
        </w:rPr>
      </w:pPr>
    </w:p>
    <w:p w14:paraId="6D766DC2" w14:textId="77777777" w:rsidR="004B1A5A" w:rsidRPr="004B1A5A" w:rsidRDefault="004B1A5A" w:rsidP="000929A6">
      <w:pPr>
        <w:rPr>
          <w:iCs/>
        </w:rPr>
      </w:pPr>
    </w:p>
    <w:p w14:paraId="29117D4A" w14:textId="77777777" w:rsidR="00874D83" w:rsidRPr="00874D83" w:rsidRDefault="00874D83" w:rsidP="00D463A5">
      <w:pPr>
        <w:ind w:left="360"/>
        <w:rPr>
          <w:iCs/>
          <w:u w:val="single"/>
        </w:rPr>
      </w:pPr>
      <w:r w:rsidRPr="00874D83">
        <w:rPr>
          <w:iCs/>
          <w:u w:val="single"/>
        </w:rPr>
        <w:t>Prospects Services - Careers Information and Advice and Guidance</w:t>
      </w:r>
    </w:p>
    <w:p w14:paraId="671AF271" w14:textId="77777777" w:rsidR="00874D83" w:rsidRDefault="00874D83" w:rsidP="000929A6">
      <w:pPr>
        <w:rPr>
          <w:iCs/>
        </w:rPr>
      </w:pPr>
    </w:p>
    <w:p w14:paraId="6C7BD98C" w14:textId="46209AE9" w:rsidR="00DB718C" w:rsidRPr="00DC031B" w:rsidRDefault="00DB718C" w:rsidP="00DC031B">
      <w:pPr>
        <w:pStyle w:val="ListParagraph"/>
        <w:numPr>
          <w:ilvl w:val="0"/>
          <w:numId w:val="6"/>
        </w:numPr>
        <w:rPr>
          <w:iCs/>
        </w:rPr>
      </w:pPr>
      <w:r w:rsidRPr="00DC031B">
        <w:rPr>
          <w:iCs/>
        </w:rPr>
        <w:t xml:space="preserve">The conclusions of this assessment </w:t>
      </w:r>
      <w:r w:rsidR="00302542">
        <w:rPr>
          <w:iCs/>
        </w:rPr>
        <w:t xml:space="preserve">undertaken in </w:t>
      </w:r>
      <w:r w:rsidR="00ED4CC7">
        <w:rPr>
          <w:iCs/>
        </w:rPr>
        <w:t xml:space="preserve">February 2015 </w:t>
      </w:r>
      <w:r w:rsidR="00302542">
        <w:rPr>
          <w:iCs/>
        </w:rPr>
        <w:t xml:space="preserve">was </w:t>
      </w:r>
      <w:r w:rsidRPr="00DC031B">
        <w:rPr>
          <w:iCs/>
        </w:rPr>
        <w:t xml:space="preserve">that the implications are either positive or neutral in that the service will provide support to those young people that are in risk of disengaging or not in education, employment or training.  </w:t>
      </w:r>
    </w:p>
    <w:p w14:paraId="6655B263" w14:textId="77777777" w:rsidR="00DB718C" w:rsidRPr="00DB718C" w:rsidRDefault="00DB718C" w:rsidP="00DB718C">
      <w:pPr>
        <w:rPr>
          <w:iCs/>
        </w:rPr>
      </w:pPr>
    </w:p>
    <w:p w14:paraId="1FB8EEFF" w14:textId="65BD855A" w:rsidR="004B1A5A" w:rsidRPr="006C0FBE" w:rsidRDefault="00DB718C" w:rsidP="006C0FBE">
      <w:pPr>
        <w:pStyle w:val="ListParagraph"/>
        <w:numPr>
          <w:ilvl w:val="0"/>
          <w:numId w:val="6"/>
        </w:numPr>
        <w:rPr>
          <w:iCs/>
        </w:rPr>
      </w:pPr>
      <w:r w:rsidRPr="006C0FBE">
        <w:rPr>
          <w:iCs/>
        </w:rPr>
        <w:t>The assessment</w:t>
      </w:r>
      <w:r w:rsidR="006C0FBE">
        <w:rPr>
          <w:iCs/>
        </w:rPr>
        <w:t xml:space="preserve"> did </w:t>
      </w:r>
      <w:r w:rsidRPr="006C0FBE">
        <w:rPr>
          <w:iCs/>
        </w:rPr>
        <w:t>not identif</w:t>
      </w:r>
      <w:r w:rsidR="006C0FBE">
        <w:rPr>
          <w:iCs/>
        </w:rPr>
        <w:t>y</w:t>
      </w:r>
      <w:r w:rsidRPr="006C0FBE">
        <w:rPr>
          <w:iCs/>
        </w:rPr>
        <w:t xml:space="preserve"> any potential for unlawful conduct or disproportionate impact and conclude that all opportunities to advance equality are being addressed.</w:t>
      </w:r>
    </w:p>
    <w:p w14:paraId="16CD88D1" w14:textId="77777777" w:rsidR="000034D4" w:rsidRPr="004B1A5A" w:rsidRDefault="000034D4" w:rsidP="00DB718C">
      <w:pPr>
        <w:rPr>
          <w:iCs/>
        </w:rPr>
      </w:pPr>
    </w:p>
    <w:p w14:paraId="68DB7CE4" w14:textId="624DE406" w:rsidR="004B1A5A" w:rsidRDefault="004B1A5A" w:rsidP="003D4E52">
      <w:pPr>
        <w:pStyle w:val="ListParagraph"/>
        <w:numPr>
          <w:ilvl w:val="0"/>
          <w:numId w:val="6"/>
        </w:numPr>
        <w:rPr>
          <w:iCs/>
        </w:rPr>
      </w:pPr>
      <w:r w:rsidRPr="006978FB">
        <w:rPr>
          <w:iCs/>
        </w:rPr>
        <w:t>During the monitoring of the contracts, data on the ethnic profile of the service users has been gathered and</w:t>
      </w:r>
      <w:r w:rsidR="00701C59">
        <w:rPr>
          <w:iCs/>
        </w:rPr>
        <w:t xml:space="preserve"> shows</w:t>
      </w:r>
      <w:r w:rsidR="00963BC2">
        <w:rPr>
          <w:iCs/>
        </w:rPr>
        <w:t>:</w:t>
      </w:r>
    </w:p>
    <w:p w14:paraId="4B2CDA42" w14:textId="77777777" w:rsidR="00963BC2" w:rsidRPr="00963BC2" w:rsidRDefault="00963BC2" w:rsidP="00963BC2">
      <w:pPr>
        <w:pStyle w:val="ListParagraph"/>
        <w:rPr>
          <w:iCs/>
        </w:rPr>
      </w:pPr>
    </w:p>
    <w:p w14:paraId="6131B656" w14:textId="3B147D80" w:rsidR="00963BC2" w:rsidRDefault="00963BC2" w:rsidP="00963BC2">
      <w:pPr>
        <w:pStyle w:val="ListParagraph"/>
        <w:numPr>
          <w:ilvl w:val="0"/>
          <w:numId w:val="19"/>
        </w:numPr>
        <w:rPr>
          <w:iCs/>
        </w:rPr>
      </w:pPr>
      <w:r w:rsidRPr="00963BC2">
        <w:rPr>
          <w:iCs/>
        </w:rPr>
        <w:t xml:space="preserve">June 2020 data show that amongst the 102 young people that are NEET, </w:t>
      </w:r>
      <w:r w:rsidR="008C05AA">
        <w:rPr>
          <w:iCs/>
        </w:rPr>
        <w:t xml:space="preserve">70 are male and </w:t>
      </w:r>
      <w:r w:rsidRPr="00963BC2">
        <w:rPr>
          <w:iCs/>
        </w:rPr>
        <w:t>35 are White British</w:t>
      </w:r>
      <w:r w:rsidR="008C05AA">
        <w:rPr>
          <w:iCs/>
        </w:rPr>
        <w:t>/</w:t>
      </w:r>
      <w:r w:rsidRPr="00963BC2">
        <w:rPr>
          <w:iCs/>
        </w:rPr>
        <w:t xml:space="preserve">White Other.  There would be a positive impact therefore as the numbers potentially accessing the service would be higher for this ethnic group.  </w:t>
      </w:r>
    </w:p>
    <w:p w14:paraId="1C1F58EA" w14:textId="77777777" w:rsidR="00F310BC" w:rsidRDefault="00F310BC" w:rsidP="00F310BC">
      <w:pPr>
        <w:pStyle w:val="ListParagraph"/>
        <w:ind w:left="1080"/>
        <w:rPr>
          <w:iCs/>
        </w:rPr>
      </w:pPr>
    </w:p>
    <w:p w14:paraId="52141B59" w14:textId="76642941" w:rsidR="00F310BC" w:rsidRPr="00F310BC" w:rsidRDefault="00F310BC" w:rsidP="00F310BC">
      <w:pPr>
        <w:pStyle w:val="ListParagraph"/>
        <w:numPr>
          <w:ilvl w:val="0"/>
          <w:numId w:val="19"/>
        </w:numPr>
        <w:rPr>
          <w:iCs/>
        </w:rPr>
      </w:pPr>
      <w:r w:rsidRPr="00F310BC">
        <w:t xml:space="preserve">December </w:t>
      </w:r>
      <w:r>
        <w:t xml:space="preserve">2019 </w:t>
      </w:r>
      <w:r w:rsidRPr="00F310BC">
        <w:t>NEET figures show that from the cohort of young people resident in Harrow that have SEN is 822.  Of this number, 13 are not in education, employment of training.   The local authority has a statutory responsibility to provide this service for young people with SEN and therefore there will be a positive impact.</w:t>
      </w:r>
    </w:p>
    <w:p w14:paraId="4066AA1A" w14:textId="77777777" w:rsidR="006978FB" w:rsidRPr="006978FB" w:rsidRDefault="006978FB" w:rsidP="006978FB">
      <w:pPr>
        <w:pStyle w:val="ListParagraph"/>
        <w:rPr>
          <w:iCs/>
        </w:rPr>
      </w:pPr>
    </w:p>
    <w:p w14:paraId="36AD15FF" w14:textId="4DCEE698" w:rsidR="004B1A5A" w:rsidRPr="007830E0" w:rsidRDefault="004B1A5A" w:rsidP="007830E0">
      <w:pPr>
        <w:pStyle w:val="ListParagraph"/>
        <w:numPr>
          <w:ilvl w:val="0"/>
          <w:numId w:val="6"/>
        </w:numPr>
        <w:rPr>
          <w:iCs/>
        </w:rPr>
      </w:pPr>
      <w:r w:rsidRPr="007830E0">
        <w:rPr>
          <w:iCs/>
        </w:rPr>
        <w:t xml:space="preserve">Prior to issuing the Direct Awards, officers will </w:t>
      </w:r>
      <w:r w:rsidR="009F164D">
        <w:rPr>
          <w:iCs/>
        </w:rPr>
        <w:t xml:space="preserve">collate up to date data and refresh the </w:t>
      </w:r>
      <w:proofErr w:type="spellStart"/>
      <w:r w:rsidR="009F164D">
        <w:rPr>
          <w:iCs/>
        </w:rPr>
        <w:t>EqIA</w:t>
      </w:r>
      <w:r w:rsidR="00251503">
        <w:rPr>
          <w:iCs/>
        </w:rPr>
        <w:t>s</w:t>
      </w:r>
      <w:proofErr w:type="spellEnd"/>
      <w:r w:rsidR="009F164D">
        <w:rPr>
          <w:iCs/>
        </w:rPr>
        <w:t xml:space="preserve"> to reflect the</w:t>
      </w:r>
      <w:r w:rsidR="00251503">
        <w:rPr>
          <w:iCs/>
        </w:rPr>
        <w:t xml:space="preserve"> current </w:t>
      </w:r>
      <w:r w:rsidR="00183632">
        <w:rPr>
          <w:iCs/>
        </w:rPr>
        <w:t>local community demographics.</w:t>
      </w:r>
      <w:r w:rsidR="00925943">
        <w:rPr>
          <w:iCs/>
        </w:rPr>
        <w:t xml:space="preserve"> </w:t>
      </w:r>
    </w:p>
    <w:p w14:paraId="6FC0D2E7" w14:textId="77777777" w:rsidR="00333FAA" w:rsidRPr="009117F2" w:rsidRDefault="00333FAA" w:rsidP="00A1211C">
      <w:pPr>
        <w:pStyle w:val="Heading3"/>
        <w:spacing w:before="480" w:after="240"/>
      </w:pPr>
      <w:r>
        <w:t xml:space="preserve">Council </w:t>
      </w:r>
      <w:r w:rsidRPr="009117F2">
        <w:t>Priorities</w:t>
      </w:r>
    </w:p>
    <w:p w14:paraId="5CD2AEA9" w14:textId="347715C3" w:rsidR="004B1A5A" w:rsidRPr="006978FB" w:rsidRDefault="004B1A5A" w:rsidP="006978FB">
      <w:pPr>
        <w:pStyle w:val="ListParagraph"/>
        <w:numPr>
          <w:ilvl w:val="0"/>
          <w:numId w:val="6"/>
        </w:numPr>
        <w:rPr>
          <w:rFonts w:cs="Arial"/>
          <w:szCs w:val="24"/>
          <w:lang w:val="en-US"/>
        </w:rPr>
      </w:pPr>
      <w:r w:rsidRPr="006978FB">
        <w:rPr>
          <w:rFonts w:cs="Arial"/>
          <w:szCs w:val="24"/>
          <w:lang w:val="en-US"/>
        </w:rPr>
        <w:t>The recommendations in this report contribute to the following Council Priorities:</w:t>
      </w:r>
    </w:p>
    <w:p w14:paraId="6F4B1A9E" w14:textId="592AB6B9" w:rsidR="004B1A5A" w:rsidRPr="004B1A5A" w:rsidRDefault="004B1A5A" w:rsidP="004B1A5A">
      <w:pPr>
        <w:pStyle w:val="ListParagraph"/>
        <w:numPr>
          <w:ilvl w:val="0"/>
          <w:numId w:val="12"/>
        </w:numPr>
        <w:autoSpaceDE w:val="0"/>
        <w:autoSpaceDN w:val="0"/>
        <w:spacing w:before="240"/>
        <w:rPr>
          <w:b/>
        </w:rPr>
      </w:pPr>
      <w:r w:rsidRPr="00D0381E">
        <w:rPr>
          <w:b/>
        </w:rPr>
        <w:t>Tackling poverty and inequality</w:t>
      </w:r>
      <w:r>
        <w:rPr>
          <w:b/>
        </w:rPr>
        <w:t xml:space="preserve"> </w:t>
      </w:r>
      <w:r w:rsidRPr="004B1A5A">
        <w:rPr>
          <w:bCs/>
        </w:rPr>
        <w:t>supporting</w:t>
      </w:r>
      <w:r>
        <w:rPr>
          <w:b/>
        </w:rPr>
        <w:t xml:space="preserve"> </w:t>
      </w:r>
      <w:r w:rsidRPr="004B1A5A">
        <w:rPr>
          <w:bCs/>
        </w:rPr>
        <w:t xml:space="preserve">children and young people </w:t>
      </w:r>
      <w:r>
        <w:rPr>
          <w:bCs/>
        </w:rPr>
        <w:t xml:space="preserve">into employment and </w:t>
      </w:r>
      <w:r w:rsidRPr="004B1A5A">
        <w:rPr>
          <w:bCs/>
        </w:rPr>
        <w:t xml:space="preserve">good </w:t>
      </w:r>
      <w:r>
        <w:rPr>
          <w:bCs/>
        </w:rPr>
        <w:t xml:space="preserve">emotional and </w:t>
      </w:r>
      <w:r w:rsidRPr="004B1A5A">
        <w:rPr>
          <w:bCs/>
        </w:rPr>
        <w:t>mental health</w:t>
      </w:r>
      <w:r>
        <w:rPr>
          <w:b/>
        </w:rPr>
        <w:t>.</w:t>
      </w:r>
    </w:p>
    <w:p w14:paraId="63D2C051" w14:textId="48D6849E" w:rsidR="004B1A5A" w:rsidRPr="00D0381E" w:rsidRDefault="004B1A5A" w:rsidP="004B1A5A">
      <w:pPr>
        <w:pStyle w:val="ListParagraph"/>
        <w:numPr>
          <w:ilvl w:val="0"/>
          <w:numId w:val="12"/>
        </w:numPr>
        <w:autoSpaceDE w:val="0"/>
        <w:autoSpaceDN w:val="0"/>
        <w:spacing w:before="240"/>
        <w:rPr>
          <w:b/>
        </w:rPr>
      </w:pPr>
      <w:r w:rsidRPr="00D0381E">
        <w:rPr>
          <w:b/>
        </w:rPr>
        <w:t>Addressing health and social care inequality</w:t>
      </w:r>
      <w:r>
        <w:rPr>
          <w:b/>
        </w:rPr>
        <w:t xml:space="preserve"> </w:t>
      </w:r>
      <w:r w:rsidRPr="00B0729B">
        <w:rPr>
          <w:bCs/>
        </w:rPr>
        <w:t xml:space="preserve">by providing high quality </w:t>
      </w:r>
      <w:r>
        <w:rPr>
          <w:bCs/>
        </w:rPr>
        <w:t xml:space="preserve">services for Children and Young People particularly in the context of </w:t>
      </w:r>
      <w:proofErr w:type="spellStart"/>
      <w:r>
        <w:rPr>
          <w:bCs/>
        </w:rPr>
        <w:t>covid</w:t>
      </w:r>
      <w:proofErr w:type="spellEnd"/>
      <w:r>
        <w:rPr>
          <w:bCs/>
        </w:rPr>
        <w:t xml:space="preserve"> and the increasing prevalence of poor mental health. </w:t>
      </w:r>
    </w:p>
    <w:p w14:paraId="2728C8BB" w14:textId="4B8EDA16" w:rsidR="004B1A5A" w:rsidRPr="000E393E" w:rsidRDefault="004B1A5A" w:rsidP="004B1A5A">
      <w:pPr>
        <w:pStyle w:val="ListParagraph"/>
        <w:numPr>
          <w:ilvl w:val="0"/>
          <w:numId w:val="12"/>
        </w:numPr>
        <w:autoSpaceDE w:val="0"/>
        <w:autoSpaceDN w:val="0"/>
        <w:spacing w:before="240"/>
        <w:rPr>
          <w:bCs/>
        </w:rPr>
      </w:pPr>
      <w:r w:rsidRPr="00D0381E">
        <w:rPr>
          <w:b/>
        </w:rPr>
        <w:t>Thriving economy</w:t>
      </w:r>
      <w:r>
        <w:rPr>
          <w:b/>
        </w:rPr>
        <w:t xml:space="preserve"> </w:t>
      </w:r>
      <w:r w:rsidRPr="000E393E">
        <w:rPr>
          <w:bCs/>
        </w:rPr>
        <w:t xml:space="preserve">to </w:t>
      </w:r>
      <w:r>
        <w:rPr>
          <w:bCs/>
        </w:rPr>
        <w:t xml:space="preserve">support vulnerable children and young people continue in education, employment and training. </w:t>
      </w:r>
      <w:r w:rsidRPr="000E393E">
        <w:rPr>
          <w:bCs/>
        </w:rPr>
        <w:t xml:space="preserve"> </w:t>
      </w:r>
    </w:p>
    <w:p w14:paraId="50745D10" w14:textId="7BF479FC" w:rsidR="007012FD" w:rsidRDefault="007012FD" w:rsidP="000B7C66">
      <w:pPr>
        <w:pStyle w:val="Heading2"/>
        <w:spacing w:before="480" w:after="240"/>
      </w:pPr>
    </w:p>
    <w:p w14:paraId="6CF8A291" w14:textId="77777777" w:rsidR="003A1634" w:rsidRPr="003A1634" w:rsidRDefault="003A1634" w:rsidP="003A1634"/>
    <w:p w14:paraId="02D59493" w14:textId="2C2632B7" w:rsidR="00333FAA" w:rsidRDefault="00333FAA" w:rsidP="000B7C66">
      <w:pPr>
        <w:pStyle w:val="Heading2"/>
        <w:spacing w:before="480" w:after="240"/>
      </w:pPr>
      <w:r>
        <w:t>Section 3 - Statutory Officer Clearance</w:t>
      </w:r>
    </w:p>
    <w:p w14:paraId="73B63FE4" w14:textId="5FBF628C" w:rsidR="00A66326" w:rsidRDefault="00A66326" w:rsidP="00A66326">
      <w:pPr>
        <w:rPr>
          <w:b/>
          <w:sz w:val="28"/>
        </w:rPr>
      </w:pPr>
      <w:r w:rsidRPr="00A66326">
        <w:rPr>
          <w:b/>
          <w:sz w:val="28"/>
        </w:rPr>
        <w:t xml:space="preserve">Statutory Officer:  </w:t>
      </w:r>
    </w:p>
    <w:p w14:paraId="4C3487B9" w14:textId="18043498" w:rsidR="00CA343F" w:rsidRPr="00B71223" w:rsidRDefault="00CA343F" w:rsidP="00A66326">
      <w:pPr>
        <w:rPr>
          <w:bCs/>
          <w:szCs w:val="18"/>
        </w:rPr>
      </w:pPr>
      <w:r w:rsidRPr="00B71223">
        <w:rPr>
          <w:bCs/>
          <w:szCs w:val="18"/>
        </w:rPr>
        <w:t>Jo Frost</w:t>
      </w:r>
      <w:r w:rsidR="00BD7D30">
        <w:rPr>
          <w:bCs/>
          <w:szCs w:val="18"/>
        </w:rPr>
        <w:t>, on behalf of the Chief Finance Officer</w:t>
      </w:r>
    </w:p>
    <w:p w14:paraId="0FBF5C1B" w14:textId="77777777" w:rsidR="00A66326" w:rsidRPr="00A66326" w:rsidRDefault="00A66326" w:rsidP="00A66326">
      <w:pPr>
        <w:rPr>
          <w:sz w:val="28"/>
        </w:rPr>
      </w:pPr>
    </w:p>
    <w:p w14:paraId="3B3D3254" w14:textId="6EE086B7" w:rsidR="00A66326" w:rsidRPr="00A66326" w:rsidRDefault="00A66326" w:rsidP="00A66326">
      <w:pPr>
        <w:spacing w:after="480"/>
        <w:rPr>
          <w:sz w:val="28"/>
        </w:rPr>
      </w:pPr>
      <w:r w:rsidRPr="00A66326">
        <w:rPr>
          <w:b/>
          <w:sz w:val="28"/>
        </w:rPr>
        <w:t xml:space="preserve">Date:  </w:t>
      </w:r>
      <w:r w:rsidR="00CA343F" w:rsidRPr="00B71223">
        <w:rPr>
          <w:bCs/>
          <w:szCs w:val="18"/>
        </w:rPr>
        <w:t>5</w:t>
      </w:r>
      <w:r w:rsidR="00CA343F" w:rsidRPr="00B71223">
        <w:rPr>
          <w:bCs/>
          <w:szCs w:val="18"/>
          <w:vertAlign w:val="superscript"/>
        </w:rPr>
        <w:t>th</w:t>
      </w:r>
      <w:r w:rsidR="00CA343F" w:rsidRPr="00B71223">
        <w:rPr>
          <w:bCs/>
          <w:szCs w:val="18"/>
        </w:rPr>
        <w:t xml:space="preserve"> October 2020</w:t>
      </w:r>
    </w:p>
    <w:p w14:paraId="35C09509" w14:textId="77777777" w:rsidR="00A66326" w:rsidRPr="00A66326" w:rsidRDefault="00A66326" w:rsidP="00A66326">
      <w:pPr>
        <w:rPr>
          <w:sz w:val="28"/>
        </w:rPr>
      </w:pPr>
      <w:r w:rsidRPr="00A66326">
        <w:rPr>
          <w:b/>
          <w:sz w:val="28"/>
        </w:rPr>
        <w:t xml:space="preserve">Statutory Officer:  </w:t>
      </w:r>
    </w:p>
    <w:p w14:paraId="093411B6" w14:textId="68BDE1BD" w:rsidR="004603B4" w:rsidRPr="00A66326" w:rsidRDefault="004603B4" w:rsidP="00A66326">
      <w:r>
        <w:t xml:space="preserve">Blessing </w:t>
      </w:r>
      <w:proofErr w:type="spellStart"/>
      <w:r>
        <w:t>Enejo</w:t>
      </w:r>
      <w:proofErr w:type="spellEnd"/>
      <w:r w:rsidR="00BD7D30">
        <w:t>, on behalf of the Monitoring Officer</w:t>
      </w:r>
    </w:p>
    <w:p w14:paraId="6E5E18FB" w14:textId="77777777" w:rsidR="00A66326" w:rsidRPr="00A66326" w:rsidRDefault="00A66326" w:rsidP="00A66326">
      <w:pPr>
        <w:rPr>
          <w:sz w:val="28"/>
        </w:rPr>
      </w:pPr>
    </w:p>
    <w:p w14:paraId="2AF134CB" w14:textId="6448D19C" w:rsidR="00A66326" w:rsidRPr="0094301D" w:rsidRDefault="00A66326" w:rsidP="00A66326">
      <w:pPr>
        <w:spacing w:after="480"/>
        <w:rPr>
          <w:szCs w:val="18"/>
        </w:rPr>
      </w:pPr>
      <w:r w:rsidRPr="00A66326">
        <w:rPr>
          <w:b/>
          <w:sz w:val="28"/>
        </w:rPr>
        <w:t xml:space="preserve">Date:  </w:t>
      </w:r>
      <w:r w:rsidR="004603B4" w:rsidRPr="0094301D">
        <w:rPr>
          <w:bCs/>
          <w:szCs w:val="18"/>
        </w:rPr>
        <w:t>15 October 2020</w:t>
      </w:r>
    </w:p>
    <w:p w14:paraId="028320E6" w14:textId="77777777" w:rsidR="00A66326" w:rsidRPr="003313EA" w:rsidRDefault="00A66326" w:rsidP="00A66326">
      <w:pPr>
        <w:rPr>
          <w:sz w:val="28"/>
        </w:rPr>
      </w:pPr>
      <w:r w:rsidRPr="00A66326">
        <w:rPr>
          <w:b/>
          <w:sz w:val="28"/>
        </w:rPr>
        <w:t xml:space="preserve">Statutory Officer:  </w:t>
      </w:r>
    </w:p>
    <w:p w14:paraId="2185F656" w14:textId="5C64CABA" w:rsidR="00A66326" w:rsidRPr="002548D1" w:rsidRDefault="007012FD" w:rsidP="00A66326">
      <w:pPr>
        <w:ind w:left="360" w:hanging="360"/>
        <w:jc w:val="both"/>
        <w:rPr>
          <w:rFonts w:cs="Arial"/>
          <w:color w:val="FF0000"/>
        </w:rPr>
      </w:pPr>
      <w:r>
        <w:t xml:space="preserve">Lisa Taylor </w:t>
      </w:r>
      <w:r w:rsidRPr="003A1634">
        <w:rPr>
          <w:i/>
          <w:iCs/>
        </w:rPr>
        <w:t>on behalf of</w:t>
      </w:r>
      <w:r>
        <w:t xml:space="preserve"> </w:t>
      </w:r>
      <w:r w:rsidR="00BD7D30">
        <w:t>the Head of Procurement</w:t>
      </w:r>
    </w:p>
    <w:p w14:paraId="2B47FB03" w14:textId="77777777" w:rsidR="00A66326" w:rsidRPr="00A66326" w:rsidRDefault="00A66326" w:rsidP="00A66326">
      <w:pPr>
        <w:rPr>
          <w:sz w:val="28"/>
        </w:rPr>
      </w:pPr>
    </w:p>
    <w:p w14:paraId="03757DA8" w14:textId="77D59A6D" w:rsidR="00A66326" w:rsidRPr="00A66326" w:rsidRDefault="00A66326" w:rsidP="00A66326">
      <w:pPr>
        <w:spacing w:after="480"/>
        <w:rPr>
          <w:sz w:val="28"/>
        </w:rPr>
      </w:pPr>
      <w:r w:rsidRPr="00A66326">
        <w:rPr>
          <w:b/>
          <w:sz w:val="28"/>
        </w:rPr>
        <w:t>Date</w:t>
      </w:r>
      <w:r w:rsidRPr="00B71223">
        <w:rPr>
          <w:b/>
          <w:szCs w:val="18"/>
        </w:rPr>
        <w:t xml:space="preserve">:  </w:t>
      </w:r>
      <w:r w:rsidR="00B71223" w:rsidRPr="0094301D">
        <w:rPr>
          <w:bCs/>
          <w:szCs w:val="18"/>
        </w:rPr>
        <w:t>5 October 2020</w:t>
      </w:r>
    </w:p>
    <w:p w14:paraId="4D624828" w14:textId="77777777" w:rsidR="00A66326" w:rsidRPr="00A66326" w:rsidRDefault="00A66326" w:rsidP="00A66326">
      <w:pPr>
        <w:rPr>
          <w:sz w:val="28"/>
        </w:rPr>
      </w:pPr>
      <w:r w:rsidRPr="00A66326">
        <w:rPr>
          <w:b/>
          <w:sz w:val="28"/>
        </w:rPr>
        <w:t xml:space="preserve">Statutory Officer:  </w:t>
      </w:r>
    </w:p>
    <w:p w14:paraId="4E77143A" w14:textId="39EB6751" w:rsidR="00A66326" w:rsidRPr="00A66326" w:rsidRDefault="003D4902" w:rsidP="00A66326">
      <w:r>
        <w:t>P</w:t>
      </w:r>
      <w:r w:rsidR="008E6156">
        <w:t>aul Hewitt</w:t>
      </w:r>
      <w:r w:rsidR="00BD7D30">
        <w:t>, Corporate Director of People</w:t>
      </w:r>
    </w:p>
    <w:p w14:paraId="494FCBE9" w14:textId="77777777" w:rsidR="00A66326" w:rsidRPr="00A66326" w:rsidRDefault="00A66326" w:rsidP="00A66326">
      <w:pPr>
        <w:rPr>
          <w:sz w:val="28"/>
        </w:rPr>
      </w:pPr>
    </w:p>
    <w:p w14:paraId="154E977E" w14:textId="0A53AA2C" w:rsidR="00A66326" w:rsidRPr="003A1634" w:rsidRDefault="00A66326" w:rsidP="00A66326">
      <w:pPr>
        <w:spacing w:after="480"/>
        <w:rPr>
          <w:bCs/>
          <w:sz w:val="28"/>
        </w:rPr>
      </w:pPr>
      <w:r w:rsidRPr="00A66326">
        <w:rPr>
          <w:b/>
          <w:sz w:val="28"/>
        </w:rPr>
        <w:t xml:space="preserve">Date:  </w:t>
      </w:r>
      <w:r w:rsidR="003A1634" w:rsidRPr="003A1634">
        <w:rPr>
          <w:bCs/>
          <w:szCs w:val="18"/>
        </w:rPr>
        <w:t>28 October 2020</w:t>
      </w:r>
    </w:p>
    <w:p w14:paraId="03167B31" w14:textId="77777777" w:rsidR="003313EA" w:rsidRPr="00435B5D" w:rsidRDefault="003313EA" w:rsidP="003313EA">
      <w:pPr>
        <w:pStyle w:val="Heading2"/>
        <w:spacing w:after="240"/>
      </w:pPr>
      <w:r>
        <w:t>Mandatory Checks</w:t>
      </w:r>
    </w:p>
    <w:p w14:paraId="1080C60B" w14:textId="795725A7" w:rsidR="003313EA" w:rsidRPr="00A406F3" w:rsidRDefault="003313EA" w:rsidP="003313EA">
      <w:pPr>
        <w:pStyle w:val="Heading3"/>
        <w:ind w:left="0" w:firstLine="0"/>
        <w:jc w:val="left"/>
      </w:pPr>
      <w:r w:rsidRPr="003313EA">
        <w:t xml:space="preserve">Ward Councillors </w:t>
      </w:r>
      <w:r>
        <w:t xml:space="preserve">notified:  </w:t>
      </w:r>
      <w:r w:rsidRPr="00032795">
        <w:rPr>
          <w:sz w:val="24"/>
          <w:szCs w:val="24"/>
        </w:rPr>
        <w:t xml:space="preserve">NO as it impacts on all Wards </w:t>
      </w:r>
    </w:p>
    <w:p w14:paraId="1FFCFF1F" w14:textId="125B8C2A" w:rsidR="003313EA" w:rsidRDefault="003313EA" w:rsidP="00857956">
      <w:pPr>
        <w:pStyle w:val="Heading3"/>
        <w:spacing w:before="240"/>
      </w:pPr>
      <w:proofErr w:type="spellStart"/>
      <w:r w:rsidRPr="00202D79">
        <w:t>EqIA</w:t>
      </w:r>
      <w:proofErr w:type="spellEnd"/>
      <w:r w:rsidRPr="00202D79">
        <w:t xml:space="preserve"> carried out:</w:t>
      </w:r>
      <w:r>
        <w:t xml:space="preserve">  </w:t>
      </w:r>
      <w:r w:rsidRPr="00202D79">
        <w:t>NO</w:t>
      </w:r>
    </w:p>
    <w:p w14:paraId="5D1CD915" w14:textId="77777777" w:rsidR="00857956" w:rsidRPr="00857956" w:rsidRDefault="00857956" w:rsidP="00857956"/>
    <w:p w14:paraId="47D40507" w14:textId="5D9DAFA9" w:rsidR="003313EA" w:rsidRPr="00F12D61" w:rsidRDefault="007C4527" w:rsidP="003313EA">
      <w:pPr>
        <w:pStyle w:val="Infotext"/>
        <w:rPr>
          <w:sz w:val="24"/>
          <w:szCs w:val="18"/>
        </w:rPr>
      </w:pPr>
      <w:proofErr w:type="spellStart"/>
      <w:r w:rsidRPr="00F12D61">
        <w:rPr>
          <w:sz w:val="24"/>
          <w:szCs w:val="18"/>
        </w:rPr>
        <w:t>EqIA</w:t>
      </w:r>
      <w:proofErr w:type="spellEnd"/>
      <w:r w:rsidRPr="00F12D61">
        <w:rPr>
          <w:sz w:val="24"/>
          <w:szCs w:val="18"/>
        </w:rPr>
        <w:t xml:space="preserve"> </w:t>
      </w:r>
      <w:r w:rsidR="0022570D" w:rsidRPr="00F12D61">
        <w:rPr>
          <w:sz w:val="24"/>
          <w:szCs w:val="18"/>
        </w:rPr>
        <w:t>data has been refreshed as abov</w:t>
      </w:r>
      <w:r w:rsidR="007425E4" w:rsidRPr="00F12D61">
        <w:rPr>
          <w:sz w:val="24"/>
          <w:szCs w:val="18"/>
        </w:rPr>
        <w:t xml:space="preserve">e and will be continually monitored and updated during the contract period. </w:t>
      </w:r>
      <w:r w:rsidR="0022570D" w:rsidRPr="00F12D61">
        <w:rPr>
          <w:bCs/>
          <w:sz w:val="24"/>
          <w:szCs w:val="18"/>
        </w:rPr>
        <w:t xml:space="preserve"> </w:t>
      </w:r>
    </w:p>
    <w:p w14:paraId="293E07B6" w14:textId="77777777" w:rsidR="00333FAA" w:rsidRDefault="00333FAA" w:rsidP="00842757">
      <w:pPr>
        <w:pStyle w:val="Heading2"/>
        <w:spacing w:before="480" w:after="240"/>
      </w:pPr>
      <w:r>
        <w:t xml:space="preserve">Section </w:t>
      </w:r>
      <w:r w:rsidR="00A20113">
        <w:t>4</w:t>
      </w:r>
      <w:r>
        <w:t xml:space="preserve"> - Contact Details and Background Papers</w:t>
      </w:r>
    </w:p>
    <w:p w14:paraId="54F6E5AD" w14:textId="77777777" w:rsidR="00417B83" w:rsidRDefault="00333FAA" w:rsidP="00000814">
      <w:pPr>
        <w:pStyle w:val="Infotext"/>
      </w:pPr>
      <w:r w:rsidRPr="004E47FC">
        <w:rPr>
          <w:b/>
        </w:rPr>
        <w:t xml:space="preserve">Contact:  </w:t>
      </w:r>
      <w:r w:rsidR="00724E6A" w:rsidRPr="00724E6A">
        <w:t xml:space="preserve">Priya Ganatra, People Services, Strategic Commissioning Manager. </w:t>
      </w:r>
    </w:p>
    <w:p w14:paraId="4BBAA76F" w14:textId="4D0C83A3" w:rsidR="00333FAA" w:rsidRDefault="00BD7D30" w:rsidP="00000814">
      <w:pPr>
        <w:pStyle w:val="Infotext"/>
      </w:pPr>
      <w:hyperlink r:id="rId13" w:history="1">
        <w:r w:rsidR="00000814" w:rsidRPr="00A54C1B">
          <w:rPr>
            <w:rStyle w:val="Hyperlink"/>
          </w:rPr>
          <w:t>Priya.ganatra@harrow.gov.uk</w:t>
        </w:r>
      </w:hyperlink>
    </w:p>
    <w:p w14:paraId="6978E909" w14:textId="77777777" w:rsidR="00000814" w:rsidRPr="00724E6A" w:rsidRDefault="00000814" w:rsidP="00000814">
      <w:pPr>
        <w:pStyle w:val="Infotext"/>
      </w:pPr>
    </w:p>
    <w:p w14:paraId="46CE67EB" w14:textId="77777777" w:rsidR="00BD7D30" w:rsidRDefault="00333FAA" w:rsidP="007012FD">
      <w:pPr>
        <w:pStyle w:val="Infotext"/>
        <w:spacing w:after="240"/>
      </w:pPr>
      <w:r w:rsidRPr="004E47FC">
        <w:rPr>
          <w:b/>
        </w:rPr>
        <w:t>Background Papers</w:t>
      </w:r>
      <w:r w:rsidRPr="00724E6A">
        <w:rPr>
          <w:b/>
        </w:rPr>
        <w:t xml:space="preserve">: </w:t>
      </w:r>
      <w:r w:rsidR="005808FB" w:rsidRPr="00724E6A">
        <w:rPr>
          <w:b/>
        </w:rPr>
        <w:t xml:space="preserve"> </w:t>
      </w:r>
      <w:r w:rsidR="00724E6A" w:rsidRPr="00724E6A">
        <w:t>None</w:t>
      </w:r>
    </w:p>
    <w:p w14:paraId="056A7A55" w14:textId="16E769B1" w:rsidR="007012FD" w:rsidRDefault="00842757" w:rsidP="007012FD">
      <w:pPr>
        <w:pStyle w:val="Infotext"/>
        <w:spacing w:after="240"/>
        <w:rPr>
          <w:bCs/>
        </w:rPr>
      </w:pPr>
      <w:bookmarkStart w:id="1" w:name="_GoBack"/>
      <w:bookmarkEnd w:id="1"/>
      <w:r>
        <w:rPr>
          <w:rFonts w:ascii="Arial Black" w:hAnsi="Arial Black"/>
        </w:rPr>
        <w:lastRenderedPageBreak/>
        <w:t>Call-in w</w:t>
      </w:r>
      <w:r w:rsidRPr="007C0DC3">
        <w:rPr>
          <w:rFonts w:ascii="Arial Black" w:hAnsi="Arial Black"/>
        </w:rPr>
        <w:t>aived by the Chair of Overview and Scrutiny Committee</w:t>
      </w:r>
    </w:p>
    <w:p w14:paraId="21B19766" w14:textId="48E49D11" w:rsidR="000D4E36" w:rsidRPr="00724E6A" w:rsidRDefault="00842757" w:rsidP="007012FD">
      <w:pPr>
        <w:pStyle w:val="Infotext"/>
        <w:spacing w:after="240"/>
        <w:rPr>
          <w:rFonts w:cs="Arial"/>
          <w:iCs/>
          <w:sz w:val="24"/>
          <w:szCs w:val="24"/>
          <w:lang w:eastAsia="en-GB"/>
        </w:rPr>
      </w:pPr>
      <w:r w:rsidRPr="003D1DD1">
        <w:rPr>
          <w:bCs/>
        </w:rPr>
        <w:t>NO</w:t>
      </w:r>
    </w:p>
    <w:sectPr w:rsidR="000D4E36" w:rsidRPr="00724E6A" w:rsidSect="007012FD">
      <w:headerReference w:type="default" r:id="rId14"/>
      <w:footerReference w:type="default" r:id="rId15"/>
      <w:headerReference w:type="first" r:id="rId16"/>
      <w:footerReference w:type="first" r:id="rId17"/>
      <w:pgSz w:w="11909" w:h="16834" w:code="9"/>
      <w:pgMar w:top="567" w:right="1800" w:bottom="1276"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AA1E9" w14:textId="77777777" w:rsidR="0026065B" w:rsidRDefault="0026065B">
      <w:r>
        <w:separator/>
      </w:r>
    </w:p>
  </w:endnote>
  <w:endnote w:type="continuationSeparator" w:id="0">
    <w:p w14:paraId="14421D88" w14:textId="77777777" w:rsidR="0026065B" w:rsidRDefault="0026065B">
      <w:r>
        <w:continuationSeparator/>
      </w:r>
    </w:p>
  </w:endnote>
  <w:endnote w:type="continuationNotice" w:id="1">
    <w:p w14:paraId="39883842" w14:textId="77777777" w:rsidR="0026065B" w:rsidRDefault="00260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genda-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4C795" w14:textId="77777777" w:rsidR="00814641" w:rsidRDefault="00814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3DB12"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0CC5C" w14:textId="77777777" w:rsidR="0026065B" w:rsidRDefault="0026065B">
      <w:r>
        <w:separator/>
      </w:r>
    </w:p>
  </w:footnote>
  <w:footnote w:type="continuationSeparator" w:id="0">
    <w:p w14:paraId="30D750CA" w14:textId="77777777" w:rsidR="0026065B" w:rsidRDefault="0026065B">
      <w:r>
        <w:continuationSeparator/>
      </w:r>
    </w:p>
  </w:footnote>
  <w:footnote w:type="continuationNotice" w:id="1">
    <w:p w14:paraId="5DD0E263" w14:textId="77777777" w:rsidR="0026065B" w:rsidRDefault="002606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589F"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7311"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1123"/>
    <w:multiLevelType w:val="hybridMultilevel"/>
    <w:tmpl w:val="8782F9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71EAF"/>
    <w:multiLevelType w:val="hybridMultilevel"/>
    <w:tmpl w:val="BD42FE6E"/>
    <w:lvl w:ilvl="0" w:tplc="FDC2AC38">
      <w:start w:val="1"/>
      <w:numFmt w:val="decimal"/>
      <w:lvlText w:val="%1."/>
      <w:lvlJc w:val="left"/>
      <w:pPr>
        <w:ind w:left="36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154F6"/>
    <w:multiLevelType w:val="hybridMultilevel"/>
    <w:tmpl w:val="20BC36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0A83783"/>
    <w:multiLevelType w:val="hybridMultilevel"/>
    <w:tmpl w:val="6366AE54"/>
    <w:lvl w:ilvl="0" w:tplc="12965EEC">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B73A7"/>
    <w:multiLevelType w:val="hybridMultilevel"/>
    <w:tmpl w:val="24BE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27181A"/>
    <w:multiLevelType w:val="hybridMultilevel"/>
    <w:tmpl w:val="99AA8C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FE3945"/>
    <w:multiLevelType w:val="hybridMultilevel"/>
    <w:tmpl w:val="A5E4A1FA"/>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10" w15:restartNumberingAfterBreak="0">
    <w:nsid w:val="34DB7EA5"/>
    <w:multiLevelType w:val="hybridMultilevel"/>
    <w:tmpl w:val="AAF8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F34CD"/>
    <w:multiLevelType w:val="hybridMultilevel"/>
    <w:tmpl w:val="B3BA8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390A0D"/>
    <w:multiLevelType w:val="hybridMultilevel"/>
    <w:tmpl w:val="6ED0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010A0"/>
    <w:multiLevelType w:val="hybridMultilevel"/>
    <w:tmpl w:val="6EA07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1547B"/>
    <w:multiLevelType w:val="hybridMultilevel"/>
    <w:tmpl w:val="E2C40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3064E0"/>
    <w:multiLevelType w:val="hybridMultilevel"/>
    <w:tmpl w:val="18967B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D0514A"/>
    <w:multiLevelType w:val="multilevel"/>
    <w:tmpl w:val="438836C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5186F69"/>
    <w:multiLevelType w:val="hybridMultilevel"/>
    <w:tmpl w:val="9FFAD56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19B1D0B"/>
    <w:multiLevelType w:val="hybridMultilevel"/>
    <w:tmpl w:val="D922749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9" w15:restartNumberingAfterBreak="0">
    <w:nsid w:val="7E6667F6"/>
    <w:multiLevelType w:val="hybridMultilevel"/>
    <w:tmpl w:val="1C2C24D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651E54"/>
    <w:multiLevelType w:val="hybridMultilevel"/>
    <w:tmpl w:val="E2C40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4"/>
  </w:num>
  <w:num w:numId="4">
    <w:abstractNumId w:val="11"/>
  </w:num>
  <w:num w:numId="5">
    <w:abstractNumId w:val="8"/>
  </w:num>
  <w:num w:numId="6">
    <w:abstractNumId w:val="3"/>
  </w:num>
  <w:num w:numId="7">
    <w:abstractNumId w:val="10"/>
  </w:num>
  <w:num w:numId="8">
    <w:abstractNumId w:val="9"/>
  </w:num>
  <w:num w:numId="9">
    <w:abstractNumId w:val="16"/>
  </w:num>
  <w:num w:numId="10">
    <w:abstractNumId w:val="2"/>
  </w:num>
  <w:num w:numId="11">
    <w:abstractNumId w:val="19"/>
  </w:num>
  <w:num w:numId="12">
    <w:abstractNumId w:val="17"/>
  </w:num>
  <w:num w:numId="13">
    <w:abstractNumId w:val="13"/>
  </w:num>
  <w:num w:numId="14">
    <w:abstractNumId w:val="20"/>
  </w:num>
  <w:num w:numId="15">
    <w:abstractNumId w:val="14"/>
  </w:num>
  <w:num w:numId="16">
    <w:abstractNumId w:val="5"/>
  </w:num>
  <w:num w:numId="17">
    <w:abstractNumId w:val="1"/>
  </w:num>
  <w:num w:numId="18">
    <w:abstractNumId w:val="15"/>
  </w:num>
  <w:num w:numId="19">
    <w:abstractNumId w:val="12"/>
  </w:num>
  <w:num w:numId="20">
    <w:abstractNumId w:val="18"/>
  </w:num>
  <w:num w:numId="2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14"/>
    <w:rsid w:val="0000089B"/>
    <w:rsid w:val="000034D4"/>
    <w:rsid w:val="0000438A"/>
    <w:rsid w:val="00017FE1"/>
    <w:rsid w:val="000245B6"/>
    <w:rsid w:val="00027615"/>
    <w:rsid w:val="00031098"/>
    <w:rsid w:val="00032795"/>
    <w:rsid w:val="00032D57"/>
    <w:rsid w:val="0004029A"/>
    <w:rsid w:val="0004062B"/>
    <w:rsid w:val="00044126"/>
    <w:rsid w:val="00045876"/>
    <w:rsid w:val="000474E3"/>
    <w:rsid w:val="0004761B"/>
    <w:rsid w:val="0005495A"/>
    <w:rsid w:val="00057F2B"/>
    <w:rsid w:val="0006034E"/>
    <w:rsid w:val="00063783"/>
    <w:rsid w:val="00063B87"/>
    <w:rsid w:val="00073765"/>
    <w:rsid w:val="00077FD4"/>
    <w:rsid w:val="00086E53"/>
    <w:rsid w:val="0009238C"/>
    <w:rsid w:val="000929A6"/>
    <w:rsid w:val="00096338"/>
    <w:rsid w:val="00097F1B"/>
    <w:rsid w:val="000A3CF4"/>
    <w:rsid w:val="000B1813"/>
    <w:rsid w:val="000B26E6"/>
    <w:rsid w:val="000B5015"/>
    <w:rsid w:val="000B6876"/>
    <w:rsid w:val="000B788F"/>
    <w:rsid w:val="000B7C66"/>
    <w:rsid w:val="000C7097"/>
    <w:rsid w:val="000D4ABB"/>
    <w:rsid w:val="000D4E36"/>
    <w:rsid w:val="000D53AA"/>
    <w:rsid w:val="000E1C70"/>
    <w:rsid w:val="000E24F3"/>
    <w:rsid w:val="000E62FE"/>
    <w:rsid w:val="000F4383"/>
    <w:rsid w:val="000F4F98"/>
    <w:rsid w:val="000F51DF"/>
    <w:rsid w:val="00100174"/>
    <w:rsid w:val="001004A4"/>
    <w:rsid w:val="00102434"/>
    <w:rsid w:val="00104394"/>
    <w:rsid w:val="001161E4"/>
    <w:rsid w:val="00121EA3"/>
    <w:rsid w:val="00124B58"/>
    <w:rsid w:val="00125A26"/>
    <w:rsid w:val="0014054F"/>
    <w:rsid w:val="001472A8"/>
    <w:rsid w:val="00151A83"/>
    <w:rsid w:val="0015376F"/>
    <w:rsid w:val="00154677"/>
    <w:rsid w:val="00156659"/>
    <w:rsid w:val="001614E0"/>
    <w:rsid w:val="0016746C"/>
    <w:rsid w:val="00171BD8"/>
    <w:rsid w:val="0017210B"/>
    <w:rsid w:val="0017653E"/>
    <w:rsid w:val="00176EEE"/>
    <w:rsid w:val="0018055C"/>
    <w:rsid w:val="00182B01"/>
    <w:rsid w:val="00183632"/>
    <w:rsid w:val="001840D2"/>
    <w:rsid w:val="00191311"/>
    <w:rsid w:val="00192AAA"/>
    <w:rsid w:val="001966D7"/>
    <w:rsid w:val="00196C2C"/>
    <w:rsid w:val="001A3B6A"/>
    <w:rsid w:val="001A3F0E"/>
    <w:rsid w:val="001A5006"/>
    <w:rsid w:val="001B04BD"/>
    <w:rsid w:val="001B357D"/>
    <w:rsid w:val="001C4CA4"/>
    <w:rsid w:val="001C4D2E"/>
    <w:rsid w:val="001C57F9"/>
    <w:rsid w:val="001C7E35"/>
    <w:rsid w:val="001E1DAB"/>
    <w:rsid w:val="001E3367"/>
    <w:rsid w:val="001E3C06"/>
    <w:rsid w:val="001E70B0"/>
    <w:rsid w:val="001F0037"/>
    <w:rsid w:val="001F0BE9"/>
    <w:rsid w:val="001F3F2E"/>
    <w:rsid w:val="001F479D"/>
    <w:rsid w:val="001F6EF2"/>
    <w:rsid w:val="002007B1"/>
    <w:rsid w:val="00201D22"/>
    <w:rsid w:val="00202D79"/>
    <w:rsid w:val="00203A22"/>
    <w:rsid w:val="00205D2F"/>
    <w:rsid w:val="002107AC"/>
    <w:rsid w:val="00215E8F"/>
    <w:rsid w:val="0022069E"/>
    <w:rsid w:val="00221A93"/>
    <w:rsid w:val="00222910"/>
    <w:rsid w:val="0022570D"/>
    <w:rsid w:val="00226D08"/>
    <w:rsid w:val="002270E9"/>
    <w:rsid w:val="002322BB"/>
    <w:rsid w:val="00234988"/>
    <w:rsid w:val="00241327"/>
    <w:rsid w:val="002419AE"/>
    <w:rsid w:val="0024747D"/>
    <w:rsid w:val="00251177"/>
    <w:rsid w:val="00251254"/>
    <w:rsid w:val="00251503"/>
    <w:rsid w:val="002532D9"/>
    <w:rsid w:val="00253DBC"/>
    <w:rsid w:val="002548D1"/>
    <w:rsid w:val="0026016A"/>
    <w:rsid w:val="0026065B"/>
    <w:rsid w:val="00260C74"/>
    <w:rsid w:val="00260FA9"/>
    <w:rsid w:val="00262326"/>
    <w:rsid w:val="00262AE6"/>
    <w:rsid w:val="0026706A"/>
    <w:rsid w:val="0027088E"/>
    <w:rsid w:val="0027283B"/>
    <w:rsid w:val="0028019B"/>
    <w:rsid w:val="00280F78"/>
    <w:rsid w:val="00282CF4"/>
    <w:rsid w:val="00282E73"/>
    <w:rsid w:val="00283CAB"/>
    <w:rsid w:val="0028525A"/>
    <w:rsid w:val="002911E4"/>
    <w:rsid w:val="00292782"/>
    <w:rsid w:val="00297550"/>
    <w:rsid w:val="002A02B5"/>
    <w:rsid w:val="002A3FEF"/>
    <w:rsid w:val="002A48E0"/>
    <w:rsid w:val="002B4C92"/>
    <w:rsid w:val="002B54A6"/>
    <w:rsid w:val="002B7F4E"/>
    <w:rsid w:val="002C0920"/>
    <w:rsid w:val="002C0F3A"/>
    <w:rsid w:val="002C6B79"/>
    <w:rsid w:val="002D384F"/>
    <w:rsid w:val="002E1481"/>
    <w:rsid w:val="002E16C8"/>
    <w:rsid w:val="002E5A2B"/>
    <w:rsid w:val="002E6257"/>
    <w:rsid w:val="002F3EE9"/>
    <w:rsid w:val="002F56E0"/>
    <w:rsid w:val="002F5833"/>
    <w:rsid w:val="002F63D2"/>
    <w:rsid w:val="00302542"/>
    <w:rsid w:val="003026FA"/>
    <w:rsid w:val="003052B7"/>
    <w:rsid w:val="00306031"/>
    <w:rsid w:val="00307F76"/>
    <w:rsid w:val="003104A9"/>
    <w:rsid w:val="00311BF4"/>
    <w:rsid w:val="00311E6F"/>
    <w:rsid w:val="0031457D"/>
    <w:rsid w:val="003165AB"/>
    <w:rsid w:val="00321FBB"/>
    <w:rsid w:val="003228A5"/>
    <w:rsid w:val="00323AEA"/>
    <w:rsid w:val="00324589"/>
    <w:rsid w:val="0032531E"/>
    <w:rsid w:val="0032723A"/>
    <w:rsid w:val="003313EA"/>
    <w:rsid w:val="0033299F"/>
    <w:rsid w:val="00333FAA"/>
    <w:rsid w:val="003355D7"/>
    <w:rsid w:val="00357B9E"/>
    <w:rsid w:val="00360D89"/>
    <w:rsid w:val="003611C4"/>
    <w:rsid w:val="0036201C"/>
    <w:rsid w:val="00370E3A"/>
    <w:rsid w:val="003721EC"/>
    <w:rsid w:val="00375D87"/>
    <w:rsid w:val="00376768"/>
    <w:rsid w:val="00386E1F"/>
    <w:rsid w:val="003A1634"/>
    <w:rsid w:val="003A660A"/>
    <w:rsid w:val="003A731B"/>
    <w:rsid w:val="003B51E7"/>
    <w:rsid w:val="003B6ED3"/>
    <w:rsid w:val="003C57BF"/>
    <w:rsid w:val="003C7C0E"/>
    <w:rsid w:val="003D1DD1"/>
    <w:rsid w:val="003D404C"/>
    <w:rsid w:val="003D4902"/>
    <w:rsid w:val="003D5ED7"/>
    <w:rsid w:val="003D735B"/>
    <w:rsid w:val="003E02C8"/>
    <w:rsid w:val="003E6CAE"/>
    <w:rsid w:val="003F3AFD"/>
    <w:rsid w:val="003F5B98"/>
    <w:rsid w:val="00400959"/>
    <w:rsid w:val="0040367C"/>
    <w:rsid w:val="00403BDE"/>
    <w:rsid w:val="00407558"/>
    <w:rsid w:val="004076C8"/>
    <w:rsid w:val="00410FA6"/>
    <w:rsid w:val="00412219"/>
    <w:rsid w:val="00413CDF"/>
    <w:rsid w:val="00417962"/>
    <w:rsid w:val="00417B83"/>
    <w:rsid w:val="0042055F"/>
    <w:rsid w:val="004207E3"/>
    <w:rsid w:val="00421A4C"/>
    <w:rsid w:val="004238C2"/>
    <w:rsid w:val="004269ED"/>
    <w:rsid w:val="004300ED"/>
    <w:rsid w:val="0043083E"/>
    <w:rsid w:val="00435B5D"/>
    <w:rsid w:val="004363F7"/>
    <w:rsid w:val="00436FEF"/>
    <w:rsid w:val="0044287E"/>
    <w:rsid w:val="00442BE9"/>
    <w:rsid w:val="0044525C"/>
    <w:rsid w:val="00450E3E"/>
    <w:rsid w:val="0045400A"/>
    <w:rsid w:val="004553F1"/>
    <w:rsid w:val="004603B4"/>
    <w:rsid w:val="00460567"/>
    <w:rsid w:val="0046736C"/>
    <w:rsid w:val="00471C1F"/>
    <w:rsid w:val="0047209F"/>
    <w:rsid w:val="004730A5"/>
    <w:rsid w:val="004743C0"/>
    <w:rsid w:val="00474914"/>
    <w:rsid w:val="00474C20"/>
    <w:rsid w:val="004758C1"/>
    <w:rsid w:val="00475F89"/>
    <w:rsid w:val="004809FA"/>
    <w:rsid w:val="004816DD"/>
    <w:rsid w:val="00486EAA"/>
    <w:rsid w:val="00493773"/>
    <w:rsid w:val="004959DB"/>
    <w:rsid w:val="004A2299"/>
    <w:rsid w:val="004A36B6"/>
    <w:rsid w:val="004B1A5A"/>
    <w:rsid w:val="004B4A3A"/>
    <w:rsid w:val="004B685E"/>
    <w:rsid w:val="004C4A75"/>
    <w:rsid w:val="004C4D6E"/>
    <w:rsid w:val="004C584C"/>
    <w:rsid w:val="004D1277"/>
    <w:rsid w:val="004D2DA0"/>
    <w:rsid w:val="004D2FB7"/>
    <w:rsid w:val="004D6550"/>
    <w:rsid w:val="004E14A4"/>
    <w:rsid w:val="004E37E2"/>
    <w:rsid w:val="004E79DC"/>
    <w:rsid w:val="004F01F1"/>
    <w:rsid w:val="004F54BD"/>
    <w:rsid w:val="004F56C5"/>
    <w:rsid w:val="004F74E1"/>
    <w:rsid w:val="004F7898"/>
    <w:rsid w:val="004F793C"/>
    <w:rsid w:val="00500DA1"/>
    <w:rsid w:val="005113EC"/>
    <w:rsid w:val="00513679"/>
    <w:rsid w:val="00523676"/>
    <w:rsid w:val="00526439"/>
    <w:rsid w:val="00530714"/>
    <w:rsid w:val="005354D0"/>
    <w:rsid w:val="0054172C"/>
    <w:rsid w:val="00542A09"/>
    <w:rsid w:val="0054590F"/>
    <w:rsid w:val="005459EC"/>
    <w:rsid w:val="005465CE"/>
    <w:rsid w:val="0055067B"/>
    <w:rsid w:val="005525B0"/>
    <w:rsid w:val="005567CF"/>
    <w:rsid w:val="00556825"/>
    <w:rsid w:val="00556F42"/>
    <w:rsid w:val="005576CB"/>
    <w:rsid w:val="00561199"/>
    <w:rsid w:val="005627A1"/>
    <w:rsid w:val="00562E6E"/>
    <w:rsid w:val="00566FC1"/>
    <w:rsid w:val="005718B5"/>
    <w:rsid w:val="00573C27"/>
    <w:rsid w:val="0057534F"/>
    <w:rsid w:val="0058052C"/>
    <w:rsid w:val="005808FB"/>
    <w:rsid w:val="005811F8"/>
    <w:rsid w:val="00582605"/>
    <w:rsid w:val="00587824"/>
    <w:rsid w:val="00590ED4"/>
    <w:rsid w:val="00591016"/>
    <w:rsid w:val="005A32BC"/>
    <w:rsid w:val="005B1F53"/>
    <w:rsid w:val="005B2271"/>
    <w:rsid w:val="005B3A82"/>
    <w:rsid w:val="005B3F67"/>
    <w:rsid w:val="005B74B8"/>
    <w:rsid w:val="005B77BC"/>
    <w:rsid w:val="005C090F"/>
    <w:rsid w:val="005C7355"/>
    <w:rsid w:val="005D548F"/>
    <w:rsid w:val="005D6EF5"/>
    <w:rsid w:val="005E1BAA"/>
    <w:rsid w:val="005E263E"/>
    <w:rsid w:val="005E3A10"/>
    <w:rsid w:val="005E7509"/>
    <w:rsid w:val="005F4752"/>
    <w:rsid w:val="005F4ECA"/>
    <w:rsid w:val="00601299"/>
    <w:rsid w:val="00605A4C"/>
    <w:rsid w:val="00606AD8"/>
    <w:rsid w:val="00607ABC"/>
    <w:rsid w:val="00610D7F"/>
    <w:rsid w:val="00613F59"/>
    <w:rsid w:val="006224DC"/>
    <w:rsid w:val="00630172"/>
    <w:rsid w:val="00631AE4"/>
    <w:rsid w:val="00633C7A"/>
    <w:rsid w:val="006351DF"/>
    <w:rsid w:val="00635B43"/>
    <w:rsid w:val="006364ED"/>
    <w:rsid w:val="00641E13"/>
    <w:rsid w:val="00645AAB"/>
    <w:rsid w:val="00645B8B"/>
    <w:rsid w:val="00647F03"/>
    <w:rsid w:val="00651301"/>
    <w:rsid w:val="006524BD"/>
    <w:rsid w:val="00655044"/>
    <w:rsid w:val="00662C42"/>
    <w:rsid w:val="00666922"/>
    <w:rsid w:val="00670F17"/>
    <w:rsid w:val="006710C7"/>
    <w:rsid w:val="00671385"/>
    <w:rsid w:val="00675502"/>
    <w:rsid w:val="0068070C"/>
    <w:rsid w:val="00683376"/>
    <w:rsid w:val="00684855"/>
    <w:rsid w:val="006850D3"/>
    <w:rsid w:val="006946B9"/>
    <w:rsid w:val="006961A7"/>
    <w:rsid w:val="00696A83"/>
    <w:rsid w:val="00696CEE"/>
    <w:rsid w:val="006977F9"/>
    <w:rsid w:val="006978FB"/>
    <w:rsid w:val="006A7D37"/>
    <w:rsid w:val="006B24E1"/>
    <w:rsid w:val="006B2CBD"/>
    <w:rsid w:val="006B5BF7"/>
    <w:rsid w:val="006B6A1D"/>
    <w:rsid w:val="006C0FBE"/>
    <w:rsid w:val="006C580A"/>
    <w:rsid w:val="006C6534"/>
    <w:rsid w:val="006D1D68"/>
    <w:rsid w:val="006D1E69"/>
    <w:rsid w:val="006D4380"/>
    <w:rsid w:val="006D4F33"/>
    <w:rsid w:val="006D513C"/>
    <w:rsid w:val="006E2543"/>
    <w:rsid w:val="006E47F5"/>
    <w:rsid w:val="006E744B"/>
    <w:rsid w:val="006F057C"/>
    <w:rsid w:val="006F1DB7"/>
    <w:rsid w:val="006F22DA"/>
    <w:rsid w:val="006F2EB3"/>
    <w:rsid w:val="006F449B"/>
    <w:rsid w:val="006F5100"/>
    <w:rsid w:val="006F6A8A"/>
    <w:rsid w:val="007012FD"/>
    <w:rsid w:val="00701C59"/>
    <w:rsid w:val="007116B1"/>
    <w:rsid w:val="0071270A"/>
    <w:rsid w:val="00714BEE"/>
    <w:rsid w:val="00721215"/>
    <w:rsid w:val="00721E15"/>
    <w:rsid w:val="00724E6A"/>
    <w:rsid w:val="007251A3"/>
    <w:rsid w:val="00727716"/>
    <w:rsid w:val="00727DFF"/>
    <w:rsid w:val="0073401A"/>
    <w:rsid w:val="007400CF"/>
    <w:rsid w:val="007425E4"/>
    <w:rsid w:val="0074488A"/>
    <w:rsid w:val="0074545D"/>
    <w:rsid w:val="00745618"/>
    <w:rsid w:val="00751750"/>
    <w:rsid w:val="00755705"/>
    <w:rsid w:val="00756F8B"/>
    <w:rsid w:val="007603A0"/>
    <w:rsid w:val="00761CA0"/>
    <w:rsid w:val="00765072"/>
    <w:rsid w:val="00771DED"/>
    <w:rsid w:val="00777998"/>
    <w:rsid w:val="007830E0"/>
    <w:rsid w:val="0078685F"/>
    <w:rsid w:val="007961EF"/>
    <w:rsid w:val="007B1D79"/>
    <w:rsid w:val="007B23FC"/>
    <w:rsid w:val="007C00D8"/>
    <w:rsid w:val="007C0A0E"/>
    <w:rsid w:val="007C3415"/>
    <w:rsid w:val="007C4527"/>
    <w:rsid w:val="007C5B2A"/>
    <w:rsid w:val="007D0C1D"/>
    <w:rsid w:val="007D2000"/>
    <w:rsid w:val="007D3B3D"/>
    <w:rsid w:val="007D4DBF"/>
    <w:rsid w:val="007E393F"/>
    <w:rsid w:val="007E4732"/>
    <w:rsid w:val="007E4BA4"/>
    <w:rsid w:val="007E5A71"/>
    <w:rsid w:val="007F004E"/>
    <w:rsid w:val="007F105C"/>
    <w:rsid w:val="007F1E44"/>
    <w:rsid w:val="007F335A"/>
    <w:rsid w:val="00801584"/>
    <w:rsid w:val="00801E81"/>
    <w:rsid w:val="00803104"/>
    <w:rsid w:val="008033B1"/>
    <w:rsid w:val="00812901"/>
    <w:rsid w:val="00814641"/>
    <w:rsid w:val="00815F83"/>
    <w:rsid w:val="0082011C"/>
    <w:rsid w:val="00820E50"/>
    <w:rsid w:val="008262C8"/>
    <w:rsid w:val="00826B9A"/>
    <w:rsid w:val="00830E7F"/>
    <w:rsid w:val="00842757"/>
    <w:rsid w:val="00842D76"/>
    <w:rsid w:val="00843CC2"/>
    <w:rsid w:val="00847E08"/>
    <w:rsid w:val="0085266D"/>
    <w:rsid w:val="00857956"/>
    <w:rsid w:val="0087227B"/>
    <w:rsid w:val="00873846"/>
    <w:rsid w:val="00874D83"/>
    <w:rsid w:val="00875B7A"/>
    <w:rsid w:val="00877C20"/>
    <w:rsid w:val="00880C9E"/>
    <w:rsid w:val="008821D9"/>
    <w:rsid w:val="008849BA"/>
    <w:rsid w:val="00885621"/>
    <w:rsid w:val="0089412C"/>
    <w:rsid w:val="008A3EAC"/>
    <w:rsid w:val="008A5AA0"/>
    <w:rsid w:val="008A5C45"/>
    <w:rsid w:val="008B509F"/>
    <w:rsid w:val="008B6144"/>
    <w:rsid w:val="008B7035"/>
    <w:rsid w:val="008B7EBF"/>
    <w:rsid w:val="008C05AA"/>
    <w:rsid w:val="008E0A4E"/>
    <w:rsid w:val="008E193A"/>
    <w:rsid w:val="008E224D"/>
    <w:rsid w:val="008E6156"/>
    <w:rsid w:val="008E673C"/>
    <w:rsid w:val="008F0442"/>
    <w:rsid w:val="008F249A"/>
    <w:rsid w:val="008F3844"/>
    <w:rsid w:val="00902805"/>
    <w:rsid w:val="0090784C"/>
    <w:rsid w:val="0091032D"/>
    <w:rsid w:val="00913E57"/>
    <w:rsid w:val="0092072C"/>
    <w:rsid w:val="00924098"/>
    <w:rsid w:val="0092530B"/>
    <w:rsid w:val="00925943"/>
    <w:rsid w:val="00926115"/>
    <w:rsid w:val="009341A6"/>
    <w:rsid w:val="00937922"/>
    <w:rsid w:val="00940E25"/>
    <w:rsid w:val="0094129C"/>
    <w:rsid w:val="0094208C"/>
    <w:rsid w:val="0094262B"/>
    <w:rsid w:val="00942B2D"/>
    <w:rsid w:val="00942F17"/>
    <w:rsid w:val="0094301D"/>
    <w:rsid w:val="00943236"/>
    <w:rsid w:val="00945D4C"/>
    <w:rsid w:val="00952368"/>
    <w:rsid w:val="00952CEF"/>
    <w:rsid w:val="00955421"/>
    <w:rsid w:val="00962840"/>
    <w:rsid w:val="00963BC2"/>
    <w:rsid w:val="0096695F"/>
    <w:rsid w:val="00970183"/>
    <w:rsid w:val="00973B36"/>
    <w:rsid w:val="00973D43"/>
    <w:rsid w:val="00980C47"/>
    <w:rsid w:val="00982DE5"/>
    <w:rsid w:val="00986F0A"/>
    <w:rsid w:val="00990E9C"/>
    <w:rsid w:val="00994542"/>
    <w:rsid w:val="00994908"/>
    <w:rsid w:val="00994AE9"/>
    <w:rsid w:val="00996674"/>
    <w:rsid w:val="009A42C1"/>
    <w:rsid w:val="009B160B"/>
    <w:rsid w:val="009B791F"/>
    <w:rsid w:val="009C237B"/>
    <w:rsid w:val="009C7BCE"/>
    <w:rsid w:val="009D2012"/>
    <w:rsid w:val="009E5A93"/>
    <w:rsid w:val="009E6A1C"/>
    <w:rsid w:val="009E70B2"/>
    <w:rsid w:val="009F164D"/>
    <w:rsid w:val="009F3154"/>
    <w:rsid w:val="009F365A"/>
    <w:rsid w:val="009F65E3"/>
    <w:rsid w:val="00A1211C"/>
    <w:rsid w:val="00A15D6B"/>
    <w:rsid w:val="00A20113"/>
    <w:rsid w:val="00A20D78"/>
    <w:rsid w:val="00A2111F"/>
    <w:rsid w:val="00A2215F"/>
    <w:rsid w:val="00A22839"/>
    <w:rsid w:val="00A23E19"/>
    <w:rsid w:val="00A26E50"/>
    <w:rsid w:val="00A30CB9"/>
    <w:rsid w:val="00A33185"/>
    <w:rsid w:val="00A33416"/>
    <w:rsid w:val="00A36896"/>
    <w:rsid w:val="00A45126"/>
    <w:rsid w:val="00A51193"/>
    <w:rsid w:val="00A51A82"/>
    <w:rsid w:val="00A53B04"/>
    <w:rsid w:val="00A55D2D"/>
    <w:rsid w:val="00A56C17"/>
    <w:rsid w:val="00A6070D"/>
    <w:rsid w:val="00A60A71"/>
    <w:rsid w:val="00A63D35"/>
    <w:rsid w:val="00A661F4"/>
    <w:rsid w:val="00A66326"/>
    <w:rsid w:val="00A67F0A"/>
    <w:rsid w:val="00A7271A"/>
    <w:rsid w:val="00A72E92"/>
    <w:rsid w:val="00A761A6"/>
    <w:rsid w:val="00A7626C"/>
    <w:rsid w:val="00A773D7"/>
    <w:rsid w:val="00A81E19"/>
    <w:rsid w:val="00A855D8"/>
    <w:rsid w:val="00A91625"/>
    <w:rsid w:val="00A93D7B"/>
    <w:rsid w:val="00A97124"/>
    <w:rsid w:val="00AA58D9"/>
    <w:rsid w:val="00AB2784"/>
    <w:rsid w:val="00AB3AC8"/>
    <w:rsid w:val="00AB3E13"/>
    <w:rsid w:val="00AB795F"/>
    <w:rsid w:val="00AC623A"/>
    <w:rsid w:val="00AC6312"/>
    <w:rsid w:val="00AD1E77"/>
    <w:rsid w:val="00AD691A"/>
    <w:rsid w:val="00AD6C9B"/>
    <w:rsid w:val="00AD6D80"/>
    <w:rsid w:val="00AE453E"/>
    <w:rsid w:val="00AE4EA6"/>
    <w:rsid w:val="00AF0248"/>
    <w:rsid w:val="00AF0330"/>
    <w:rsid w:val="00AF1A4A"/>
    <w:rsid w:val="00AF6E21"/>
    <w:rsid w:val="00B056B8"/>
    <w:rsid w:val="00B05CC8"/>
    <w:rsid w:val="00B05D52"/>
    <w:rsid w:val="00B071AE"/>
    <w:rsid w:val="00B1160D"/>
    <w:rsid w:val="00B11E7C"/>
    <w:rsid w:val="00B15374"/>
    <w:rsid w:val="00B21620"/>
    <w:rsid w:val="00B25FF5"/>
    <w:rsid w:val="00B30B2B"/>
    <w:rsid w:val="00B31E04"/>
    <w:rsid w:val="00B325B9"/>
    <w:rsid w:val="00B3792C"/>
    <w:rsid w:val="00B42201"/>
    <w:rsid w:val="00B444E6"/>
    <w:rsid w:val="00B47D18"/>
    <w:rsid w:val="00B52011"/>
    <w:rsid w:val="00B53CDA"/>
    <w:rsid w:val="00B53EFF"/>
    <w:rsid w:val="00B5457B"/>
    <w:rsid w:val="00B54AFA"/>
    <w:rsid w:val="00B56D4E"/>
    <w:rsid w:val="00B572F9"/>
    <w:rsid w:val="00B65773"/>
    <w:rsid w:val="00B671A4"/>
    <w:rsid w:val="00B676F3"/>
    <w:rsid w:val="00B70560"/>
    <w:rsid w:val="00B71223"/>
    <w:rsid w:val="00B71F6B"/>
    <w:rsid w:val="00B7663D"/>
    <w:rsid w:val="00B774C6"/>
    <w:rsid w:val="00B804E8"/>
    <w:rsid w:val="00B83561"/>
    <w:rsid w:val="00B84844"/>
    <w:rsid w:val="00B8500F"/>
    <w:rsid w:val="00B85B4E"/>
    <w:rsid w:val="00B87B98"/>
    <w:rsid w:val="00B92071"/>
    <w:rsid w:val="00B92BB6"/>
    <w:rsid w:val="00BA05DB"/>
    <w:rsid w:val="00BA0FDC"/>
    <w:rsid w:val="00BA22A7"/>
    <w:rsid w:val="00BA4B8A"/>
    <w:rsid w:val="00BA7196"/>
    <w:rsid w:val="00BB5DA6"/>
    <w:rsid w:val="00BB74DA"/>
    <w:rsid w:val="00BB7C91"/>
    <w:rsid w:val="00BC0A85"/>
    <w:rsid w:val="00BC206C"/>
    <w:rsid w:val="00BC431A"/>
    <w:rsid w:val="00BC493B"/>
    <w:rsid w:val="00BC5672"/>
    <w:rsid w:val="00BD2C09"/>
    <w:rsid w:val="00BD7D30"/>
    <w:rsid w:val="00BE0621"/>
    <w:rsid w:val="00BE1A28"/>
    <w:rsid w:val="00BE597E"/>
    <w:rsid w:val="00BE5CC0"/>
    <w:rsid w:val="00BE62F9"/>
    <w:rsid w:val="00BE7885"/>
    <w:rsid w:val="00BF6A4D"/>
    <w:rsid w:val="00C0190E"/>
    <w:rsid w:val="00C019C0"/>
    <w:rsid w:val="00C01A35"/>
    <w:rsid w:val="00C03772"/>
    <w:rsid w:val="00C04E06"/>
    <w:rsid w:val="00C04EDA"/>
    <w:rsid w:val="00C110E1"/>
    <w:rsid w:val="00C119A2"/>
    <w:rsid w:val="00C144F1"/>
    <w:rsid w:val="00C152BB"/>
    <w:rsid w:val="00C15836"/>
    <w:rsid w:val="00C21D43"/>
    <w:rsid w:val="00C25616"/>
    <w:rsid w:val="00C2784C"/>
    <w:rsid w:val="00C305F3"/>
    <w:rsid w:val="00C30601"/>
    <w:rsid w:val="00C308FE"/>
    <w:rsid w:val="00C33784"/>
    <w:rsid w:val="00C407E3"/>
    <w:rsid w:val="00C44559"/>
    <w:rsid w:val="00C45245"/>
    <w:rsid w:val="00C561B6"/>
    <w:rsid w:val="00C56907"/>
    <w:rsid w:val="00C57249"/>
    <w:rsid w:val="00C57267"/>
    <w:rsid w:val="00C62B63"/>
    <w:rsid w:val="00C67C8F"/>
    <w:rsid w:val="00C7001A"/>
    <w:rsid w:val="00C72B5B"/>
    <w:rsid w:val="00C8209A"/>
    <w:rsid w:val="00C869F3"/>
    <w:rsid w:val="00C97778"/>
    <w:rsid w:val="00CA1EA3"/>
    <w:rsid w:val="00CA3046"/>
    <w:rsid w:val="00CA3136"/>
    <w:rsid w:val="00CA31F1"/>
    <w:rsid w:val="00CA343F"/>
    <w:rsid w:val="00CB2702"/>
    <w:rsid w:val="00CB4E58"/>
    <w:rsid w:val="00CB751D"/>
    <w:rsid w:val="00CC0345"/>
    <w:rsid w:val="00CC0BC6"/>
    <w:rsid w:val="00CC18AC"/>
    <w:rsid w:val="00CC2B1F"/>
    <w:rsid w:val="00CC3CA0"/>
    <w:rsid w:val="00CC3CC2"/>
    <w:rsid w:val="00CC76AF"/>
    <w:rsid w:val="00CD7B01"/>
    <w:rsid w:val="00CD7D5D"/>
    <w:rsid w:val="00CE0973"/>
    <w:rsid w:val="00CE20E5"/>
    <w:rsid w:val="00CE3FD2"/>
    <w:rsid w:val="00CE73ED"/>
    <w:rsid w:val="00CF0FC4"/>
    <w:rsid w:val="00CF6932"/>
    <w:rsid w:val="00D00568"/>
    <w:rsid w:val="00D01FE3"/>
    <w:rsid w:val="00D0381E"/>
    <w:rsid w:val="00D06CA3"/>
    <w:rsid w:val="00D07F46"/>
    <w:rsid w:val="00D1169D"/>
    <w:rsid w:val="00D14339"/>
    <w:rsid w:val="00D1631D"/>
    <w:rsid w:val="00D170E5"/>
    <w:rsid w:val="00D17E98"/>
    <w:rsid w:val="00D2132C"/>
    <w:rsid w:val="00D37F2F"/>
    <w:rsid w:val="00D415B9"/>
    <w:rsid w:val="00D44965"/>
    <w:rsid w:val="00D463A5"/>
    <w:rsid w:val="00D528E8"/>
    <w:rsid w:val="00D62666"/>
    <w:rsid w:val="00D66FD2"/>
    <w:rsid w:val="00D712F8"/>
    <w:rsid w:val="00D71D9B"/>
    <w:rsid w:val="00D74FA6"/>
    <w:rsid w:val="00D771D0"/>
    <w:rsid w:val="00D835CF"/>
    <w:rsid w:val="00D86749"/>
    <w:rsid w:val="00DA26FB"/>
    <w:rsid w:val="00DA36BE"/>
    <w:rsid w:val="00DA624D"/>
    <w:rsid w:val="00DB508C"/>
    <w:rsid w:val="00DB55FA"/>
    <w:rsid w:val="00DB6C3D"/>
    <w:rsid w:val="00DB718C"/>
    <w:rsid w:val="00DB723B"/>
    <w:rsid w:val="00DC031B"/>
    <w:rsid w:val="00DC0CA5"/>
    <w:rsid w:val="00DC16E1"/>
    <w:rsid w:val="00DC56A8"/>
    <w:rsid w:val="00DC5ACF"/>
    <w:rsid w:val="00DC71E0"/>
    <w:rsid w:val="00DD3573"/>
    <w:rsid w:val="00DD6B2E"/>
    <w:rsid w:val="00DD7468"/>
    <w:rsid w:val="00DE1D7A"/>
    <w:rsid w:val="00DE2216"/>
    <w:rsid w:val="00DE25E9"/>
    <w:rsid w:val="00DE4C39"/>
    <w:rsid w:val="00DE605D"/>
    <w:rsid w:val="00DE63E5"/>
    <w:rsid w:val="00DE65ED"/>
    <w:rsid w:val="00DE6984"/>
    <w:rsid w:val="00DE71D3"/>
    <w:rsid w:val="00DE72CF"/>
    <w:rsid w:val="00DF08A0"/>
    <w:rsid w:val="00DF51E8"/>
    <w:rsid w:val="00DF6DA4"/>
    <w:rsid w:val="00DF774F"/>
    <w:rsid w:val="00E03A1A"/>
    <w:rsid w:val="00E05929"/>
    <w:rsid w:val="00E05EAB"/>
    <w:rsid w:val="00E1242B"/>
    <w:rsid w:val="00E13BEF"/>
    <w:rsid w:val="00E176A0"/>
    <w:rsid w:val="00E24360"/>
    <w:rsid w:val="00E26579"/>
    <w:rsid w:val="00E4078C"/>
    <w:rsid w:val="00E411C0"/>
    <w:rsid w:val="00E422BD"/>
    <w:rsid w:val="00E426F7"/>
    <w:rsid w:val="00E4335D"/>
    <w:rsid w:val="00E45D27"/>
    <w:rsid w:val="00E61067"/>
    <w:rsid w:val="00E64A49"/>
    <w:rsid w:val="00E64ADC"/>
    <w:rsid w:val="00E70760"/>
    <w:rsid w:val="00E7088F"/>
    <w:rsid w:val="00E83CD0"/>
    <w:rsid w:val="00E8435C"/>
    <w:rsid w:val="00E878DA"/>
    <w:rsid w:val="00E9253C"/>
    <w:rsid w:val="00E93465"/>
    <w:rsid w:val="00E955AC"/>
    <w:rsid w:val="00EA425B"/>
    <w:rsid w:val="00EA7F58"/>
    <w:rsid w:val="00EB1933"/>
    <w:rsid w:val="00EB3A73"/>
    <w:rsid w:val="00EB3CF0"/>
    <w:rsid w:val="00EB45B5"/>
    <w:rsid w:val="00EB5E57"/>
    <w:rsid w:val="00EB61DB"/>
    <w:rsid w:val="00EC79F0"/>
    <w:rsid w:val="00ED1C7E"/>
    <w:rsid w:val="00ED4AFD"/>
    <w:rsid w:val="00ED4CC7"/>
    <w:rsid w:val="00ED6776"/>
    <w:rsid w:val="00EE4FBE"/>
    <w:rsid w:val="00EE6BC1"/>
    <w:rsid w:val="00EE7C83"/>
    <w:rsid w:val="00F0259D"/>
    <w:rsid w:val="00F026E6"/>
    <w:rsid w:val="00F038A1"/>
    <w:rsid w:val="00F06E4E"/>
    <w:rsid w:val="00F07D95"/>
    <w:rsid w:val="00F12D61"/>
    <w:rsid w:val="00F131F9"/>
    <w:rsid w:val="00F148D0"/>
    <w:rsid w:val="00F1597F"/>
    <w:rsid w:val="00F216EB"/>
    <w:rsid w:val="00F222EB"/>
    <w:rsid w:val="00F310BC"/>
    <w:rsid w:val="00F35454"/>
    <w:rsid w:val="00F44FFC"/>
    <w:rsid w:val="00F46C49"/>
    <w:rsid w:val="00F51E01"/>
    <w:rsid w:val="00F5649A"/>
    <w:rsid w:val="00F64D54"/>
    <w:rsid w:val="00F66E15"/>
    <w:rsid w:val="00F6711F"/>
    <w:rsid w:val="00F67C83"/>
    <w:rsid w:val="00F67DC5"/>
    <w:rsid w:val="00F75E03"/>
    <w:rsid w:val="00F82342"/>
    <w:rsid w:val="00F8682C"/>
    <w:rsid w:val="00F877DB"/>
    <w:rsid w:val="00F87C16"/>
    <w:rsid w:val="00F91AE4"/>
    <w:rsid w:val="00F929BE"/>
    <w:rsid w:val="00F93C8B"/>
    <w:rsid w:val="00F959DD"/>
    <w:rsid w:val="00F960D5"/>
    <w:rsid w:val="00F97B09"/>
    <w:rsid w:val="00FA54FA"/>
    <w:rsid w:val="00FB1231"/>
    <w:rsid w:val="00FB759F"/>
    <w:rsid w:val="00FC1C5C"/>
    <w:rsid w:val="00FD1495"/>
    <w:rsid w:val="00FD4E1D"/>
    <w:rsid w:val="00FE17E2"/>
    <w:rsid w:val="00FE3FC0"/>
    <w:rsid w:val="00FE6599"/>
    <w:rsid w:val="00FF6E4B"/>
    <w:rsid w:val="00FF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7A8554"/>
  <w15:docId w15:val="{564F6C5B-DAE0-48A0-A563-097C5D0D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998"/>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ListParagraphChar">
    <w:name w:val="List Paragraph Char"/>
    <w:basedOn w:val="DefaultParagraphFont"/>
    <w:link w:val="ListParagraph"/>
    <w:uiPriority w:val="34"/>
    <w:locked/>
    <w:rsid w:val="00745618"/>
    <w:rPr>
      <w:rFonts w:ascii="Arial" w:hAnsi="Arial"/>
      <w:sz w:val="24"/>
      <w:lang w:eastAsia="en-US"/>
    </w:rPr>
  </w:style>
  <w:style w:type="character" w:customStyle="1" w:styleId="UnresolvedMention1">
    <w:name w:val="Unresolved Mention1"/>
    <w:basedOn w:val="DefaultParagraphFont"/>
    <w:uiPriority w:val="99"/>
    <w:semiHidden/>
    <w:unhideWhenUsed/>
    <w:rsid w:val="00724E6A"/>
    <w:rPr>
      <w:color w:val="605E5C"/>
      <w:shd w:val="clear" w:color="auto" w:fill="E1DFDD"/>
    </w:rPr>
  </w:style>
  <w:style w:type="character" w:styleId="CommentReference">
    <w:name w:val="annotation reference"/>
    <w:basedOn w:val="DefaultParagraphFont"/>
    <w:semiHidden/>
    <w:unhideWhenUsed/>
    <w:rsid w:val="004B1A5A"/>
    <w:rPr>
      <w:sz w:val="16"/>
      <w:szCs w:val="16"/>
    </w:rPr>
  </w:style>
  <w:style w:type="paragraph" w:styleId="CommentText">
    <w:name w:val="annotation text"/>
    <w:basedOn w:val="Normal"/>
    <w:link w:val="CommentTextChar"/>
    <w:semiHidden/>
    <w:unhideWhenUsed/>
    <w:rsid w:val="004B1A5A"/>
    <w:rPr>
      <w:sz w:val="20"/>
    </w:rPr>
  </w:style>
  <w:style w:type="character" w:customStyle="1" w:styleId="CommentTextChar">
    <w:name w:val="Comment Text Char"/>
    <w:basedOn w:val="DefaultParagraphFont"/>
    <w:link w:val="CommentText"/>
    <w:semiHidden/>
    <w:rsid w:val="004B1A5A"/>
    <w:rPr>
      <w:rFonts w:ascii="Arial" w:hAnsi="Arial"/>
      <w:lang w:eastAsia="en-US"/>
    </w:rPr>
  </w:style>
  <w:style w:type="paragraph" w:styleId="CommentSubject">
    <w:name w:val="annotation subject"/>
    <w:basedOn w:val="CommentText"/>
    <w:next w:val="CommentText"/>
    <w:link w:val="CommentSubjectChar"/>
    <w:semiHidden/>
    <w:unhideWhenUsed/>
    <w:rsid w:val="004B1A5A"/>
    <w:rPr>
      <w:b/>
      <w:bCs/>
    </w:rPr>
  </w:style>
  <w:style w:type="character" w:customStyle="1" w:styleId="CommentSubjectChar">
    <w:name w:val="Comment Subject Char"/>
    <w:basedOn w:val="CommentTextChar"/>
    <w:link w:val="CommentSubject"/>
    <w:semiHidden/>
    <w:rsid w:val="004B1A5A"/>
    <w:rPr>
      <w:rFonts w:ascii="Arial" w:hAnsi="Arial"/>
      <w:b/>
      <w:bCs/>
      <w:lang w:eastAsia="en-US"/>
    </w:rPr>
  </w:style>
  <w:style w:type="paragraph" w:styleId="BodyText3">
    <w:name w:val="Body Text 3"/>
    <w:basedOn w:val="Normal"/>
    <w:link w:val="BodyText3Char"/>
    <w:semiHidden/>
    <w:unhideWhenUsed/>
    <w:rsid w:val="00DC56A8"/>
    <w:pPr>
      <w:spacing w:after="120"/>
    </w:pPr>
    <w:rPr>
      <w:sz w:val="16"/>
      <w:szCs w:val="16"/>
    </w:rPr>
  </w:style>
  <w:style w:type="character" w:customStyle="1" w:styleId="BodyText3Char">
    <w:name w:val="Body Text 3 Char"/>
    <w:basedOn w:val="DefaultParagraphFont"/>
    <w:link w:val="BodyText3"/>
    <w:semiHidden/>
    <w:rsid w:val="00DC56A8"/>
    <w:rPr>
      <w:rFonts w:ascii="Arial" w:hAnsi="Arial"/>
      <w:sz w:val="16"/>
      <w:szCs w:val="16"/>
      <w:lang w:eastAsia="en-US"/>
    </w:rPr>
  </w:style>
  <w:style w:type="paragraph" w:styleId="Revision">
    <w:name w:val="Revision"/>
    <w:hidden/>
    <w:uiPriority w:val="99"/>
    <w:semiHidden/>
    <w:rsid w:val="0081464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290405817">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80246362">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735162486">
      <w:bodyDiv w:val="1"/>
      <w:marLeft w:val="0"/>
      <w:marRight w:val="0"/>
      <w:marTop w:val="0"/>
      <w:marBottom w:val="0"/>
      <w:divBdr>
        <w:top w:val="none" w:sz="0" w:space="0" w:color="auto"/>
        <w:left w:val="none" w:sz="0" w:space="0" w:color="auto"/>
        <w:bottom w:val="none" w:sz="0" w:space="0" w:color="auto"/>
        <w:right w:val="none" w:sz="0" w:space="0" w:color="auto"/>
      </w:divBdr>
    </w:div>
    <w:div w:id="18110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ya.ganatra@harrow.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0" ma:contentTypeDescription="Create a new document." ma:contentTypeScope="" ma:versionID="0e76c98a3860b8b442c4f8bab858a079">
  <xsd:schema xmlns:xsd="http://www.w3.org/2001/XMLSchema" xmlns:xs="http://www.w3.org/2001/XMLSchema" xmlns:p="http://schemas.microsoft.com/office/2006/metadata/properties" xmlns:ns3="c6bdeb93-2270-4bf7-9e85-6688a4728aea" targetNamespace="http://schemas.microsoft.com/office/2006/metadata/properties" ma:root="true" ma:fieldsID="d7a7f9b7b800b05f290fee67aa0ec0ea" ns3:_="">
    <xsd:import namespace="c6bdeb93-2270-4bf7-9e85-6688a4728a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D6710CE0-B1C4-4F64-A045-6380C07F8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05B1B39E-4BD6-4D34-B83E-79D5CD4DA14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6bdeb93-2270-4bf7-9e85-6688a4728aea"/>
    <ds:schemaRef ds:uri="http://www.w3.org/XML/1998/namespace"/>
    <ds:schemaRef ds:uri="http://purl.org/dc/dcmitype/"/>
  </ds:schemaRefs>
</ds:datastoreItem>
</file>

<file path=customXml/itemProps5.xml><?xml version="1.0" encoding="utf-8"?>
<ds:datastoreItem xmlns:ds="http://schemas.openxmlformats.org/officeDocument/2006/customXml" ds:itemID="{14500494-5C83-4FF5-BB57-C281471E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3710</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23759</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Nikolova</cp:lastModifiedBy>
  <cp:revision>3</cp:revision>
  <cp:lastPrinted>2014-10-31T16:34:00Z</cp:lastPrinted>
  <dcterms:created xsi:type="dcterms:W3CDTF">2020-10-30T08:51:00Z</dcterms:created>
  <dcterms:modified xsi:type="dcterms:W3CDTF">2020-10-30T08:52:00Z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